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90" w:rsidRPr="006127D6" w:rsidRDefault="00CE1539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61F90" w:rsidRPr="006127D6">
        <w:rPr>
          <w:rFonts w:ascii="Times New Roman" w:hAnsi="Times New Roman" w:cs="Times New Roman"/>
          <w:bCs/>
          <w:sz w:val="24"/>
          <w:szCs w:val="24"/>
        </w:rPr>
        <w:t xml:space="preserve">Утвержден решением </w:t>
      </w:r>
    </w:p>
    <w:p w:rsidR="00A61F90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27D6">
        <w:rPr>
          <w:rFonts w:ascii="Times New Roman" w:hAnsi="Times New Roman" w:cs="Times New Roman"/>
          <w:bCs/>
          <w:sz w:val="24"/>
          <w:szCs w:val="24"/>
        </w:rPr>
        <w:t xml:space="preserve">Коллегии </w:t>
      </w:r>
    </w:p>
    <w:p w:rsidR="00A61F90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27D6">
        <w:rPr>
          <w:rFonts w:ascii="Times New Roman" w:hAnsi="Times New Roman" w:cs="Times New Roman"/>
          <w:bCs/>
          <w:sz w:val="24"/>
          <w:szCs w:val="24"/>
        </w:rPr>
        <w:t xml:space="preserve">Контрольной палаты </w:t>
      </w:r>
    </w:p>
    <w:p w:rsidR="00A61F90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127D6">
        <w:rPr>
          <w:rFonts w:ascii="Times New Roman" w:hAnsi="Times New Roman" w:cs="Times New Roman"/>
          <w:bCs/>
          <w:sz w:val="24"/>
          <w:szCs w:val="24"/>
        </w:rPr>
        <w:t>Республики Абхазия,</w:t>
      </w:r>
    </w:p>
    <w:p w:rsidR="00A61F90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27D6">
        <w:rPr>
          <w:rFonts w:ascii="Times New Roman" w:hAnsi="Times New Roman" w:cs="Times New Roman"/>
          <w:bCs/>
          <w:sz w:val="24"/>
          <w:szCs w:val="24"/>
        </w:rPr>
        <w:t>оформленным</w:t>
      </w:r>
      <w:proofErr w:type="gramEnd"/>
      <w:r w:rsidRPr="006127D6">
        <w:rPr>
          <w:rFonts w:ascii="Times New Roman" w:hAnsi="Times New Roman" w:cs="Times New Roman"/>
          <w:bCs/>
          <w:sz w:val="24"/>
          <w:szCs w:val="24"/>
        </w:rPr>
        <w:t xml:space="preserve"> протоколом </w:t>
      </w:r>
    </w:p>
    <w:p w:rsidR="00A61F90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27D6">
        <w:rPr>
          <w:rFonts w:ascii="Times New Roman" w:hAnsi="Times New Roman" w:cs="Times New Roman"/>
          <w:bCs/>
          <w:sz w:val="24"/>
          <w:szCs w:val="24"/>
        </w:rPr>
        <w:t>заседания</w:t>
      </w:r>
      <w:proofErr w:type="gramEnd"/>
      <w:r w:rsidRPr="006127D6">
        <w:rPr>
          <w:rFonts w:ascii="Times New Roman" w:hAnsi="Times New Roman" w:cs="Times New Roman"/>
          <w:bCs/>
          <w:sz w:val="24"/>
          <w:szCs w:val="24"/>
        </w:rPr>
        <w:t xml:space="preserve"> Коллегии</w:t>
      </w:r>
    </w:p>
    <w:p w:rsidR="00CE1539" w:rsidRPr="006127D6" w:rsidRDefault="00A61F90" w:rsidP="006127D6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27D6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127D6">
        <w:rPr>
          <w:rFonts w:ascii="Times New Roman" w:hAnsi="Times New Roman" w:cs="Times New Roman"/>
          <w:bCs/>
          <w:sz w:val="24"/>
          <w:szCs w:val="24"/>
        </w:rPr>
        <w:t xml:space="preserve"> 30 марта 2018 г. №2</w:t>
      </w:r>
    </w:p>
    <w:p w:rsidR="00A61F90" w:rsidRDefault="00A61F90" w:rsidP="00A61F90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A61F90" w:rsidRPr="000E0DAE" w:rsidRDefault="00A61F90" w:rsidP="00A61F90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6AA5" w:rsidRPr="000E0DAE" w:rsidRDefault="00724A34" w:rsidP="00666AA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Оперативный </w:t>
      </w:r>
      <w:r w:rsidR="00666AA5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об исполнении бюджета</w:t>
      </w:r>
    </w:p>
    <w:p w:rsidR="00666AA5" w:rsidRPr="000E0DAE" w:rsidRDefault="00666AA5" w:rsidP="00AA39F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Гагрско</w:t>
      </w:r>
      <w:r w:rsidR="005F2D7B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proofErr w:type="spellEnd"/>
      <w:r w:rsidR="005F2D7B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</w:t>
      </w:r>
      <w:r w:rsidR="001D7984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5F2D7B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2017</w:t>
      </w:r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440542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EC48DD" w:rsidRPr="000E0DAE" w:rsidRDefault="00EC48DD" w:rsidP="00EC48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Внешняя проверка отчета об исполнении бюджета </w:t>
      </w:r>
      <w:proofErr w:type="spellStart"/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Гагрского</w:t>
      </w:r>
      <w:proofErr w:type="spellEnd"/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1D7984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2017г. проведена на основании представленных в Контрольную палату Республики Абхазия </w:t>
      </w:r>
      <w:r w:rsidR="001D7984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13.12.2018</w:t>
      </w: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Администрацией</w:t>
      </w:r>
      <w:r w:rsidRPr="000E0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Гагрского</w:t>
      </w:r>
      <w:proofErr w:type="spellEnd"/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форм бюджетной отчетности и прилагаемых к нему документов: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>Сводный отчет об исполнении доходной и расходной части бюджета;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>Развернутый отчет о доходах по видам платежей в разрезе предприятий и организаций;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>Развернутый постатейный отчет по расходам в разрезе организаций;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>Сведения о численности работников бюджетных учреждений;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>Расшифровка резервного фонда главы администрации;</w:t>
      </w:r>
    </w:p>
    <w:p w:rsidR="00EC48DD" w:rsidRPr="000E0DAE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hAnsi="Times New Roman"/>
          <w:color w:val="000000" w:themeColor="text1"/>
          <w:sz w:val="28"/>
          <w:szCs w:val="28"/>
        </w:rPr>
        <w:t xml:space="preserve">Пояснительная записка </w:t>
      </w:r>
      <w:r w:rsidR="002B6D52" w:rsidRPr="000E0DAE">
        <w:rPr>
          <w:rFonts w:ascii="Times New Roman" w:hAnsi="Times New Roman"/>
          <w:color w:val="000000" w:themeColor="text1"/>
          <w:sz w:val="28"/>
          <w:szCs w:val="28"/>
        </w:rPr>
        <w:t xml:space="preserve">к отчету об исполнение бюджета </w:t>
      </w:r>
      <w:r w:rsidRPr="000E0DAE">
        <w:rPr>
          <w:rFonts w:ascii="Times New Roman" w:hAnsi="Times New Roman"/>
          <w:color w:val="000000" w:themeColor="text1"/>
          <w:sz w:val="28"/>
          <w:szCs w:val="28"/>
        </w:rPr>
        <w:t>по расходам за 2017 года.</w:t>
      </w:r>
    </w:p>
    <w:p w:rsidR="001E62A3" w:rsidRPr="000E0DAE" w:rsidRDefault="001E62A3" w:rsidP="001E62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Внешняя проверка отчета об исполнении бюджета </w:t>
      </w:r>
      <w:proofErr w:type="spellStart"/>
      <w:r w:rsidR="00CB1CCD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Гагрского</w:t>
      </w:r>
      <w:proofErr w:type="spellEnd"/>
      <w:r w:rsidR="00CB1CCD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2017г. проведена на предмет аналитической оценки исполнения бюджета 2017г.,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A39F7" w:rsidRPr="000E0DAE" w:rsidRDefault="00666AA5" w:rsidP="003570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отчету об исполнении бюджета </w:t>
      </w:r>
      <w:proofErr w:type="spellStart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общий объе</w:t>
      </w:r>
      <w:r w:rsidR="005F2D7B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м доходов за 2017</w:t>
      </w:r>
      <w:r w:rsidR="00B731CD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</w:t>
      </w:r>
      <w:r w:rsidR="008400DF" w:rsidRPr="00730A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352 529,2 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8400DF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121 419,6</w:t>
      </w:r>
      <w:r w:rsidR="008400DF" w:rsidRPr="00730A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87702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 прогнозируем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ой суммы.  Из общей суммы доходов бюджета собственные</w:t>
      </w:r>
      <w:r w:rsidR="002C3B53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доходы бюджета района составила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0DF" w:rsidRPr="00730A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307 296,1 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CF5203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FF3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дотация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Ре</w:t>
      </w:r>
      <w:r w:rsidR="0010410B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спубликанского бюджета составил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99A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45 233,1</w:t>
      </w:r>
      <w:r w:rsidR="002B399A" w:rsidRPr="00730A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724A34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об </w:t>
      </w:r>
      <w:r w:rsidR="00724A34" w:rsidRPr="00AA39F7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доходной части бюджета </w:t>
      </w:r>
      <w:proofErr w:type="spellStart"/>
      <w:r w:rsidR="00724A34" w:rsidRPr="00AA39F7">
        <w:rPr>
          <w:rFonts w:ascii="Times New Roman" w:hAnsi="Times New Roman" w:cs="Times New Roman"/>
          <w:sz w:val="28"/>
          <w:szCs w:val="28"/>
        </w:rPr>
        <w:t>Гагрско</w:t>
      </w:r>
      <w:r w:rsidR="008F2390" w:rsidRPr="00AA39F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F2390" w:rsidRPr="00AA39F7">
        <w:rPr>
          <w:rFonts w:ascii="Times New Roman" w:hAnsi="Times New Roman" w:cs="Times New Roman"/>
          <w:sz w:val="28"/>
          <w:szCs w:val="28"/>
        </w:rPr>
        <w:t xml:space="preserve"> района за 2017</w:t>
      </w:r>
      <w:r w:rsidR="002B399A" w:rsidRPr="00AA39F7">
        <w:rPr>
          <w:rFonts w:ascii="Times New Roman" w:hAnsi="Times New Roman" w:cs="Times New Roman"/>
          <w:sz w:val="28"/>
          <w:szCs w:val="28"/>
        </w:rPr>
        <w:t xml:space="preserve"> год</w:t>
      </w:r>
      <w:r w:rsidR="00CF5203" w:rsidRPr="00AA39F7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724A34" w:rsidRPr="00AA39F7">
        <w:rPr>
          <w:rFonts w:ascii="Times New Roman" w:hAnsi="Times New Roman" w:cs="Times New Roman"/>
          <w:sz w:val="28"/>
          <w:szCs w:val="28"/>
        </w:rPr>
        <w:t xml:space="preserve"> в таблице №1.  </w:t>
      </w:r>
    </w:p>
    <w:tbl>
      <w:tblPr>
        <w:tblW w:w="9986" w:type="dxa"/>
        <w:tblInd w:w="20" w:type="dxa"/>
        <w:tblLook w:val="04A0" w:firstRow="1" w:lastRow="0" w:firstColumn="1" w:lastColumn="0" w:noHBand="0" w:noVBand="1"/>
      </w:tblPr>
      <w:tblGrid>
        <w:gridCol w:w="557"/>
        <w:gridCol w:w="9150"/>
        <w:gridCol w:w="635"/>
        <w:gridCol w:w="1262"/>
        <w:gridCol w:w="1239"/>
        <w:gridCol w:w="1384"/>
      </w:tblGrid>
      <w:tr w:rsidR="00AA39F7" w:rsidRPr="00736653" w:rsidTr="00157EC0">
        <w:trPr>
          <w:trHeight w:val="315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7366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Доходная часть бюджета </w:t>
            </w:r>
            <w:proofErr w:type="spellStart"/>
            <w:r w:rsidRPr="007366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Гагрского</w:t>
            </w:r>
            <w:proofErr w:type="spellEnd"/>
            <w:r w:rsidRPr="007366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2017 год </w:t>
            </w:r>
          </w:p>
          <w:p w:rsidR="00AA39F7" w:rsidRPr="00736653" w:rsidRDefault="00AA39F7" w:rsidP="00157EC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№1                                                                                                       </w:t>
            </w:r>
            <w:proofErr w:type="gramStart"/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руб.)</w:t>
            </w:r>
          </w:p>
        </w:tc>
      </w:tr>
      <w:tr w:rsidR="00AA39F7" w:rsidRPr="00736653" w:rsidTr="00157EC0">
        <w:trPr>
          <w:trHeight w:val="7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Pr="00736653" w:rsidRDefault="00AA39F7" w:rsidP="0015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24" w:type="dxa"/>
              <w:tblLook w:val="04A0" w:firstRow="1" w:lastRow="0" w:firstColumn="1" w:lastColumn="0" w:noHBand="0" w:noVBand="1"/>
            </w:tblPr>
            <w:tblGrid>
              <w:gridCol w:w="2145"/>
              <w:gridCol w:w="1338"/>
              <w:gridCol w:w="1360"/>
              <w:gridCol w:w="1431"/>
              <w:gridCol w:w="1398"/>
              <w:gridCol w:w="1252"/>
            </w:tblGrid>
            <w:tr w:rsidR="00AA39F7" w:rsidRPr="00600EBB" w:rsidTr="00157EC0">
              <w:trPr>
                <w:trHeight w:val="1560"/>
              </w:trPr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Прогноз на 2017 год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Факт за 2017 г.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Отклонение от годового прогноза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% исполнения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Удельный вес</w:t>
                  </w:r>
                </w:p>
              </w:tc>
            </w:tr>
            <w:tr w:rsidR="00AA39F7" w:rsidRPr="00600EBB" w:rsidTr="00157EC0">
              <w:trPr>
                <w:trHeight w:val="9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Налог на прибыль предприятий и организаций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54 192,50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39 628,6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-14 563,9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73,1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12,9</w:t>
                  </w:r>
                </w:p>
              </w:tc>
            </w:tr>
            <w:tr w:rsidR="00AA39F7" w:rsidRPr="00600EBB" w:rsidTr="00157EC0">
              <w:trPr>
                <w:trHeight w:val="6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Подоходный налог с физических лиц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131 519,50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106 026,3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-25 493,2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80,6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34,5</w:t>
                  </w:r>
                </w:p>
              </w:tc>
            </w:tr>
            <w:tr w:rsidR="00AA39F7" w:rsidRPr="00600EBB" w:rsidTr="00157EC0">
              <w:trPr>
                <w:trHeight w:val="1995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Налог на добавленную стоимость на товары, работы, услуги реализуемые на территории Республики Абхазия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108 199,0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54 442,1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-53 756,9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50,3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17,7</w:t>
                  </w:r>
                </w:p>
              </w:tc>
            </w:tr>
            <w:tr w:rsidR="00AA39F7" w:rsidRPr="00600EBB" w:rsidTr="00157EC0">
              <w:trPr>
                <w:trHeight w:val="159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Акцизы по подакцизным товарам, производимым на территории республики Абхазия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9 127,40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23 467,9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14 340,5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257,1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7,6</w:t>
                  </w:r>
                </w:p>
              </w:tc>
            </w:tr>
            <w:tr w:rsidR="00AA39F7" w:rsidRPr="00600EBB" w:rsidTr="00157EC0">
              <w:trPr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43 231,50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33 906,0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-9 325,5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78,4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11,0</w:t>
                  </w:r>
                </w:p>
              </w:tc>
            </w:tr>
            <w:tr w:rsidR="00AA39F7" w:rsidRPr="00600EBB" w:rsidTr="00157EC0">
              <w:trPr>
                <w:trHeight w:val="6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Налог на имущество предприятий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9 841,60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10 413,2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571,6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105,8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3,4</w:t>
                  </w:r>
                </w:p>
              </w:tc>
            </w:tr>
            <w:tr w:rsidR="00AA39F7" w:rsidRPr="00600EBB" w:rsidTr="00157EC0">
              <w:trPr>
                <w:trHeight w:val="9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Специальный налог на отдельные виды деятельности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52 526,00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31 288,0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-21 238,0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59,6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10,2</w:t>
                  </w:r>
                </w:p>
              </w:tc>
            </w:tr>
            <w:tr w:rsidR="00AA39F7" w:rsidRPr="00600EBB" w:rsidTr="00157EC0">
              <w:trPr>
                <w:trHeight w:val="6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1 830,0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-10 170,0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15,3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</w:tr>
            <w:tr w:rsidR="00AA39F7" w:rsidRPr="00600EBB" w:rsidTr="00157EC0">
              <w:trPr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Курортный сбор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3 250,00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1 849,4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-1 400,6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56,9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</w:tr>
            <w:tr w:rsidR="00AA39F7" w:rsidRPr="00600EBB" w:rsidTr="00157EC0">
              <w:trPr>
                <w:trHeight w:val="18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9D0526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D052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Доходы от использования имущества, находящегося в государственной собственности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2 300,00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2 370,3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70,3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103,1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0,8</w:t>
                  </w:r>
                </w:p>
              </w:tc>
            </w:tr>
            <w:tr w:rsidR="00AA39F7" w:rsidRPr="00600EBB" w:rsidTr="00157EC0">
              <w:trPr>
                <w:trHeight w:val="12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Доходы от продажи материальных и нематериальных активов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1 346,8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-653,2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67,3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</w:tr>
            <w:tr w:rsidR="00AA39F7" w:rsidRPr="00600EBB" w:rsidTr="00157EC0">
              <w:trPr>
                <w:trHeight w:val="12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Платежи за пользование природными ресурсами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828,20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180,3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-647,9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21,8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</w:tr>
            <w:tr w:rsidR="00AA39F7" w:rsidRPr="00600EBB" w:rsidTr="00157EC0">
              <w:trPr>
                <w:trHeight w:val="6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Административные платежи и сборы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547,2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-52,8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91,2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</w:tr>
            <w:tr w:rsidR="00AA39F7" w:rsidRPr="00600EBB" w:rsidTr="00157EC0">
              <w:trPr>
                <w:trHeight w:val="585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 собственных доходов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429 615,70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307 296,1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-122 319,6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71,5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100,0</w:t>
                  </w:r>
                </w:p>
              </w:tc>
            </w:tr>
            <w:tr w:rsidR="00AA39F7" w:rsidRPr="00600EBB" w:rsidTr="00157EC0">
              <w:trPr>
                <w:trHeight w:val="9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Дотация из республиканского бюджета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44 333,10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45 233,1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900,0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102,0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12,8</w:t>
                  </w:r>
                </w:p>
              </w:tc>
            </w:tr>
            <w:tr w:rsidR="00AA39F7" w:rsidRPr="00600EBB" w:rsidTr="00157EC0">
              <w:trPr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473 948,80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352 529,2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-121 419,6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lang w:eastAsia="ru-RU"/>
                    </w:rPr>
                    <w:t>74,4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A39F7" w:rsidRPr="00600EBB" w:rsidRDefault="00AA39F7" w:rsidP="001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00E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100,0</w:t>
                  </w:r>
                </w:p>
              </w:tc>
            </w:tr>
          </w:tbl>
          <w:p w:rsidR="00AA39F7" w:rsidRPr="00736653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Pr="00736653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Pr="00736653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Pr="00736653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F7" w:rsidRPr="00736653" w:rsidRDefault="00AA39F7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6AA5" w:rsidRPr="00730AC2" w:rsidRDefault="00666AA5" w:rsidP="003570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AA5" w:rsidRPr="00730AC2" w:rsidRDefault="00666AA5" w:rsidP="00AA39F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</w:t>
      </w:r>
      <w:proofErr w:type="spellStart"/>
      <w:r w:rsidR="00440542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="00440542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proofErr w:type="spellStart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C61DE4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</w:t>
      </w:r>
      <w:r w:rsidR="002B399A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собственных доходов в сумме </w:t>
      </w:r>
      <w:r w:rsidR="002B399A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122 319,6 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что связано с неисполнением прогнозных значений по всем видам налогов и сборов за исключением акцизов</w:t>
      </w:r>
      <w:r w:rsidR="000E0DAE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DAE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</w:t>
      </w:r>
      <w:r w:rsidR="0010410B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E0DAE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имущество предприятий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7AFF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Доходов</w:t>
      </w:r>
      <w:r w:rsidR="000E0DAE" w:rsidRPr="0073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использования имущества, находящегося в государственной собственности. </w:t>
      </w:r>
    </w:p>
    <w:p w:rsidR="00666AA5" w:rsidRPr="000E0DAE" w:rsidRDefault="00666AA5" w:rsidP="006515F7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доходной части бюджета </w:t>
      </w:r>
      <w:proofErr w:type="spellStart"/>
      <w:r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Гарского</w:t>
      </w:r>
      <w:proofErr w:type="spellEnd"/>
      <w:r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доля собствен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ной доходной части составляет</w:t>
      </w:r>
      <w:r w:rsidR="002B399A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87,2</w:t>
      </w:r>
      <w:r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%, межбюджетных трансфертов из Республиканского бюджета</w:t>
      </w:r>
      <w:r w:rsidR="004A7D0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00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A7D0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00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12,8</w:t>
      </w:r>
      <w:r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%. В структуре собственных доходов наибольшие поступления прихо</w:t>
      </w:r>
      <w:r w:rsidR="0044054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дятся на подоходный налог 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45056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34,5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НДС – </w:t>
      </w:r>
      <w:r w:rsidR="00345056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17,7 </w:t>
      </w:r>
      <w:r w:rsidR="0098770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r w:rsidR="0044054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прибыль</w:t>
      </w:r>
      <w:r w:rsidR="0098770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и 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6F0429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056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12,9 </w:t>
      </w:r>
      <w:r w:rsidR="00440542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%,</w:t>
      </w:r>
      <w:r w:rsidR="004C64A8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056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налог – </w:t>
      </w:r>
      <w:r w:rsidR="00345056"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11,0 </w:t>
      </w:r>
      <w:r w:rsidR="00345056" w:rsidRPr="000E0DAE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BA3D84" w:rsidRPr="0033444A" w:rsidRDefault="00BA3D84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44A">
        <w:rPr>
          <w:rFonts w:ascii="Times New Roman" w:hAnsi="Times New Roman" w:cs="Times New Roman"/>
          <w:sz w:val="28"/>
          <w:szCs w:val="28"/>
        </w:rPr>
        <w:t>Остато</w:t>
      </w:r>
      <w:r w:rsidR="00AD5F3E" w:rsidRPr="0033444A">
        <w:rPr>
          <w:rFonts w:ascii="Times New Roman" w:hAnsi="Times New Roman" w:cs="Times New Roman"/>
          <w:sz w:val="28"/>
          <w:szCs w:val="28"/>
        </w:rPr>
        <w:t>к денежных средств на 01.01.2018</w:t>
      </w:r>
      <w:r w:rsidRPr="0033444A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912D2E" w:rsidRPr="0033444A">
        <w:rPr>
          <w:rFonts w:ascii="Times New Roman" w:hAnsi="Times New Roman" w:cs="Times New Roman"/>
          <w:sz w:val="28"/>
          <w:szCs w:val="28"/>
        </w:rPr>
        <w:t xml:space="preserve"> 43 533,4</w:t>
      </w:r>
      <w:r w:rsidRPr="0033444A">
        <w:rPr>
          <w:rFonts w:ascii="Times New Roman" w:hAnsi="Times New Roman" w:cs="Times New Roman"/>
          <w:sz w:val="28"/>
          <w:szCs w:val="28"/>
        </w:rPr>
        <w:t>тыс. руб.</w:t>
      </w:r>
    </w:p>
    <w:p w:rsidR="00736653" w:rsidRPr="0033444A" w:rsidRDefault="002C7514" w:rsidP="00AA39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44A">
        <w:rPr>
          <w:rFonts w:ascii="Times New Roman" w:hAnsi="Times New Roman" w:cs="Times New Roman"/>
          <w:sz w:val="28"/>
          <w:szCs w:val="28"/>
        </w:rPr>
        <w:t>Из них при исполнении бюджета за</w:t>
      </w:r>
      <w:r w:rsidR="00BA3D84" w:rsidRPr="0033444A">
        <w:rPr>
          <w:rFonts w:ascii="Times New Roman" w:hAnsi="Times New Roman" w:cs="Times New Roman"/>
          <w:sz w:val="28"/>
          <w:szCs w:val="28"/>
        </w:rPr>
        <w:t xml:space="preserve"> </w:t>
      </w:r>
      <w:r w:rsidR="00AD5F3E" w:rsidRPr="0033444A">
        <w:rPr>
          <w:rFonts w:ascii="Times New Roman" w:hAnsi="Times New Roman" w:cs="Times New Roman"/>
          <w:sz w:val="28"/>
          <w:szCs w:val="28"/>
        </w:rPr>
        <w:t>2017 год</w:t>
      </w:r>
      <w:r w:rsidRPr="0033444A">
        <w:rPr>
          <w:rFonts w:ascii="Times New Roman" w:hAnsi="Times New Roman" w:cs="Times New Roman"/>
          <w:sz w:val="28"/>
          <w:szCs w:val="28"/>
        </w:rPr>
        <w:t xml:space="preserve"> </w:t>
      </w:r>
      <w:r w:rsidR="00BA3D84" w:rsidRPr="0033444A">
        <w:rPr>
          <w:rFonts w:ascii="Times New Roman" w:hAnsi="Times New Roman" w:cs="Times New Roman"/>
          <w:sz w:val="28"/>
          <w:szCs w:val="28"/>
        </w:rPr>
        <w:t xml:space="preserve">было использовано </w:t>
      </w:r>
      <w:r w:rsidR="00912D2E" w:rsidRPr="0033444A">
        <w:rPr>
          <w:rFonts w:ascii="Times New Roman" w:hAnsi="Times New Roman" w:cs="Times New Roman"/>
          <w:sz w:val="28"/>
          <w:szCs w:val="28"/>
        </w:rPr>
        <w:t>6 960,0</w:t>
      </w:r>
      <w:r w:rsidR="00BA3D84" w:rsidRPr="0033444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66AA5" w:rsidRPr="00CA2284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778">
        <w:rPr>
          <w:rFonts w:ascii="Times New Roman" w:hAnsi="Times New Roman" w:cs="Times New Roman"/>
          <w:sz w:val="28"/>
          <w:szCs w:val="28"/>
        </w:rPr>
        <w:t>Налог на прибыль предприятий и ор</w:t>
      </w:r>
      <w:r w:rsidR="00B63348" w:rsidRPr="00393778">
        <w:rPr>
          <w:rFonts w:ascii="Times New Roman" w:hAnsi="Times New Roman" w:cs="Times New Roman"/>
          <w:sz w:val="28"/>
          <w:szCs w:val="28"/>
        </w:rPr>
        <w:t xml:space="preserve">ганизаций </w:t>
      </w:r>
      <w:r w:rsidR="00393778" w:rsidRPr="00393778">
        <w:rPr>
          <w:rFonts w:ascii="Times New Roman" w:hAnsi="Times New Roman" w:cs="Times New Roman"/>
          <w:sz w:val="28"/>
          <w:szCs w:val="28"/>
        </w:rPr>
        <w:t xml:space="preserve">за </w:t>
      </w:r>
      <w:r w:rsidR="00B63348" w:rsidRPr="00393778">
        <w:rPr>
          <w:rFonts w:ascii="Times New Roman" w:hAnsi="Times New Roman" w:cs="Times New Roman"/>
          <w:sz w:val="28"/>
          <w:szCs w:val="28"/>
        </w:rPr>
        <w:t>2017</w:t>
      </w:r>
      <w:r w:rsidR="00393778" w:rsidRPr="00393778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3778">
        <w:rPr>
          <w:rFonts w:ascii="Times New Roman" w:hAnsi="Times New Roman" w:cs="Times New Roman"/>
          <w:sz w:val="28"/>
          <w:szCs w:val="28"/>
        </w:rPr>
        <w:t xml:space="preserve"> при прогнозном показателе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54 192,50</w:t>
      </w:r>
      <w:r w:rsidRPr="00393778">
        <w:rPr>
          <w:rFonts w:ascii="Times New Roman" w:hAnsi="Times New Roman" w:cs="Times New Roman"/>
          <w:sz w:val="28"/>
          <w:szCs w:val="28"/>
        </w:rPr>
        <w:t xml:space="preserve"> тыс. руб. поступил в бюджет района в сумме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39 628,6</w:t>
      </w:r>
      <w:r w:rsidRPr="00393778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14 563,9</w:t>
      </w:r>
      <w:r w:rsidRPr="00393778">
        <w:rPr>
          <w:rFonts w:ascii="Times New Roman" w:hAnsi="Times New Roman" w:cs="Times New Roman"/>
          <w:sz w:val="28"/>
          <w:szCs w:val="28"/>
        </w:rPr>
        <w:t xml:space="preserve"> тыс. руб. меньше ожидаемой суммы или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73,1</w:t>
      </w:r>
      <w:r w:rsidRPr="00393778"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пояснительной, представленной управлением </w:t>
      </w:r>
      <w:r w:rsidR="002C3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финансов администрации </w:t>
      </w:r>
      <w:proofErr w:type="spellStart"/>
      <w:r w:rsidR="002C3B53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="002C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невыполнение плановых показателей</w:t>
      </w:r>
      <w:r w:rsidR="009D0526"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виду нало</w:t>
      </w:r>
      <w:r w:rsidR="002C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связано с невыполнением плановых показателей </w:t>
      </w:r>
      <w:r w:rsidR="009D0526"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14 предприятиям: ООО</w:t>
      </w:r>
      <w:r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526"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D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Чайка-2003»-1 099,4 тыс. руб., ООО «Самшитовая Роща» -5 694,4 тыс. руб.,  ООО «ЛБ» - 1 551,6 тыс. руб., ООО Север 1» - 5 830,6 тыс. руб., ДРСУ-2 -472,6 тыс. руб., </w:t>
      </w:r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«Ассорти-Продукт» - 730,1 тыс. руб., </w:t>
      </w:r>
      <w:proofErr w:type="spellStart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>Гагрский</w:t>
      </w:r>
      <w:proofErr w:type="spellEnd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Лесхоз – 669,3 тыс. руб., ООО «Просперити» - 991,1 тыс. руб., ООО «</w:t>
      </w:r>
      <w:proofErr w:type="spellStart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>Амра</w:t>
      </w:r>
      <w:proofErr w:type="spellEnd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>-Интернешнл» - 909,9 тыс. руб., ООО «Александрия-2» - 1 465,2 тыс. руб., ООО «</w:t>
      </w:r>
      <w:proofErr w:type="spellStart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>Алра</w:t>
      </w:r>
      <w:proofErr w:type="spellEnd"/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-А» - 1 370,6 тыс. руб., ООО «АПМ» - 2 965,6 тыс. руб., ООО «Нитика-2000» - 978,5 тыс. руб. Сумма </w:t>
      </w:r>
      <w:r w:rsidR="0047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плановых показателей </w:t>
      </w:r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вышеперечисленным организациям и предприятиям составила -43 669,5 тыс. руб. </w:t>
      </w:r>
    </w:p>
    <w:p w:rsidR="00666AA5" w:rsidRPr="00393778" w:rsidRDefault="00666AA5" w:rsidP="00290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778">
        <w:rPr>
          <w:rFonts w:ascii="Times New Roman" w:hAnsi="Times New Roman" w:cs="Times New Roman"/>
          <w:sz w:val="28"/>
          <w:szCs w:val="28"/>
        </w:rPr>
        <w:t xml:space="preserve">Поступление подоходного налога за рассматриваемый период прогнозировалось в сумме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131 519,50</w:t>
      </w:r>
      <w:r w:rsidRPr="00393778">
        <w:rPr>
          <w:rFonts w:ascii="Times New Roman" w:hAnsi="Times New Roman" w:cs="Times New Roman"/>
          <w:sz w:val="28"/>
          <w:szCs w:val="28"/>
        </w:rPr>
        <w:t xml:space="preserve"> тыс. руб., фактическое поступление составило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106 026,3</w:t>
      </w:r>
      <w:r w:rsidRPr="0039377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93778" w:rsidRPr="00393778">
        <w:rPr>
          <w:rFonts w:ascii="Times New Roman" w:eastAsia="Times New Roman" w:hAnsi="Times New Roman" w:cs="Times New Roman"/>
          <w:sz w:val="28"/>
          <w:szCs w:val="28"/>
          <w:lang w:eastAsia="ru-RU"/>
        </w:rPr>
        <w:t>80,6</w:t>
      </w:r>
      <w:r w:rsidRPr="00393778">
        <w:rPr>
          <w:rFonts w:ascii="Times New Roman" w:hAnsi="Times New Roman" w:cs="Times New Roman"/>
          <w:sz w:val="28"/>
          <w:szCs w:val="28"/>
        </w:rPr>
        <w:t xml:space="preserve"> % исполнения.</w:t>
      </w:r>
      <w:r w:rsidR="00F42B2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A39F7">
        <w:rPr>
          <w:rFonts w:ascii="Times New Roman" w:hAnsi="Times New Roman" w:cs="Times New Roman"/>
          <w:sz w:val="28"/>
          <w:szCs w:val="28"/>
        </w:rPr>
        <w:t xml:space="preserve">Пояснительной записке </w:t>
      </w:r>
      <w:r w:rsidR="00F42B2B">
        <w:rPr>
          <w:rFonts w:ascii="Times New Roman" w:hAnsi="Times New Roman" w:cs="Times New Roman"/>
          <w:sz w:val="28"/>
          <w:szCs w:val="28"/>
        </w:rPr>
        <w:t>н</w:t>
      </w:r>
      <w:r w:rsidR="005475B1"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>евыполнение плана по данному виду налога связано с невыполнением плана по</w:t>
      </w:r>
      <w:r w:rsidR="0054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организациям и предприятиям: </w:t>
      </w:r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>ООО «АПМ» - 629,5 тыс. руб., ООО «Север 1» - 1 280,7 тыс. руб., ДРСУ 2 – 573,2 тыс. руб., ООО «Напитки Абхазии и К» - 3 570,5 тыс. руб., Д/О «</w:t>
      </w:r>
      <w:proofErr w:type="spellStart"/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>Питиус</w:t>
      </w:r>
      <w:proofErr w:type="spellEnd"/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>» - 1 194,2 тыс. руб., ООО «</w:t>
      </w:r>
      <w:proofErr w:type="spellStart"/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>Амра</w:t>
      </w:r>
      <w:proofErr w:type="spellEnd"/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Интернешнл» - 497,3 тыс. руб., комбинат по благоустройству города – 1 130,6 тыс. руб., подоходный налог по </w:t>
      </w:r>
      <w:r w:rsidR="00F42B2B">
        <w:rPr>
          <w:rFonts w:ascii="Times New Roman" w:hAnsi="Times New Roman" w:cs="Times New Roman"/>
          <w:color w:val="000000" w:themeColor="text1"/>
          <w:sz w:val="28"/>
          <w:szCs w:val="28"/>
        </w:rPr>
        <w:t>разделу Строительство</w:t>
      </w:r>
      <w:r w:rsidR="002B3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-18 970,6 тыс. руб.</w:t>
      </w:r>
    </w:p>
    <w:p w:rsidR="00666AA5" w:rsidRPr="0028745F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45F">
        <w:rPr>
          <w:rFonts w:ascii="Times New Roman" w:hAnsi="Times New Roman" w:cs="Times New Roman"/>
          <w:sz w:val="28"/>
          <w:szCs w:val="28"/>
        </w:rPr>
        <w:t xml:space="preserve">Поступление налога на добавленную стоимость в бюджет района при прогнозном показателе </w:t>
      </w:r>
      <w:r w:rsidR="00393778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108 199,0</w:t>
      </w:r>
      <w:r w:rsidRPr="0028745F">
        <w:rPr>
          <w:rFonts w:ascii="Times New Roman" w:hAnsi="Times New Roman" w:cs="Times New Roman"/>
          <w:sz w:val="28"/>
          <w:szCs w:val="28"/>
        </w:rPr>
        <w:t xml:space="preserve"> тыс. руб. составило </w:t>
      </w:r>
      <w:r w:rsidR="0028745F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54 442,1</w:t>
      </w:r>
      <w:r w:rsidRPr="0028745F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8745F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53 756,9</w:t>
      </w:r>
      <w:r w:rsidRPr="0028745F">
        <w:rPr>
          <w:rFonts w:ascii="Times New Roman" w:hAnsi="Times New Roman" w:cs="Times New Roman"/>
          <w:sz w:val="28"/>
          <w:szCs w:val="28"/>
        </w:rPr>
        <w:t xml:space="preserve"> тыс. руб. меньше утвержденного показателя или </w:t>
      </w:r>
      <w:r w:rsidR="0028745F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50,3</w:t>
      </w:r>
      <w:r w:rsidRPr="0028745F">
        <w:rPr>
          <w:rFonts w:ascii="Times New Roman" w:hAnsi="Times New Roman" w:cs="Times New Roman"/>
          <w:sz w:val="28"/>
          <w:szCs w:val="28"/>
        </w:rPr>
        <w:t xml:space="preserve"> % исполнения. </w:t>
      </w:r>
      <w:r w:rsidR="000F7EE1">
        <w:rPr>
          <w:rFonts w:ascii="Times New Roman" w:hAnsi="Times New Roman" w:cs="Times New Roman"/>
          <w:sz w:val="28"/>
          <w:szCs w:val="28"/>
        </w:rPr>
        <w:t xml:space="preserve">Согласно информации, представленной отделом финансов района, </w:t>
      </w:r>
      <w:r w:rsidR="000F7E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>евыполнение плана обусловлено также наличием недоимок в сумме 33 609,0 тыс.</w:t>
      </w:r>
      <w:proofErr w:type="spellStart"/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.,в том числе: </w:t>
      </w:r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>ООО л/п «Солнечный» - 1 740,1 тыс. руб., ООО «Нитика-2000» - 1 441,1 тыс. руб., ООО «Север 1» - 1 473,6 тыс. руб., МУП комбинат по благоустройству г. Гагра – 5 226,7 тыс. руб., ООО «</w:t>
      </w:r>
      <w:proofErr w:type="spellStart"/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>Гега</w:t>
      </w:r>
      <w:proofErr w:type="spellEnd"/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Ф» - 1 437, 6 тыс. руб., </w:t>
      </w:r>
      <w:proofErr w:type="spellStart"/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>Гагрский</w:t>
      </w:r>
      <w:proofErr w:type="spellEnd"/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Лесхоз – 8 375,9 тыс. руб.,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«Супермаркет «Гагра» - 2 636,0 </w:t>
      </w:r>
      <w:r w:rsidR="00A178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тыс. руб. </w:t>
      </w:r>
      <w:r w:rsidR="00C54567">
        <w:rPr>
          <w:rFonts w:ascii="Times New Roman" w:hAnsi="Times New Roman" w:cs="Times New Roman"/>
          <w:color w:val="000000" w:themeColor="text1"/>
          <w:sz w:val="28"/>
          <w:szCs w:val="28"/>
        </w:rPr>
        <w:t>и невыполнение плановых показателей</w:t>
      </w:r>
      <w:r w:rsidR="00A57831" w:rsidRPr="009D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организациям и предприятиям: ООО «Север 1» - 7 185,6 тыс. руб., ООО «</w:t>
      </w:r>
      <w:proofErr w:type="spellStart"/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>Конти</w:t>
      </w:r>
      <w:proofErr w:type="spellEnd"/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>-ОПТ» - 30 792,1 тыс. руб.,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>ООО «Кром» - 6 817,5 тыс. руб., ООО Ассорти-продукт» - 3 325,8 тыс. руб.,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«Мурат» - 2443,4 тыс. руб., ООО «Аризона» - 1 636,2 тыс. руб., </w:t>
      </w:r>
      <w:proofErr w:type="spellStart"/>
      <w:r w:rsidR="00603B6A">
        <w:rPr>
          <w:rFonts w:ascii="Times New Roman" w:hAnsi="Times New Roman" w:cs="Times New Roman"/>
          <w:color w:val="000000" w:themeColor="text1"/>
          <w:sz w:val="28"/>
          <w:szCs w:val="28"/>
        </w:rPr>
        <w:t>Гагр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Лесхоз – 2 275,5 тыс. руб., ООО «АТК» - 1 691,5 тыс. руб., ООО «РС-Бетон» - 1 101,4 тыс. руб., ООО «Просперити» - 4 635,9 тыс. руб., ООО «</w:t>
      </w:r>
      <w:proofErr w:type="spellStart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Питиунт</w:t>
      </w:r>
      <w:proofErr w:type="spellEnd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» - 2 677,0 тыс. руб., ООО «Самшитовая Роща» - 9 711,8 тыс. руб., ООО «АПМ» - 9 378,0 тыс. руб., Д/О «</w:t>
      </w:r>
      <w:proofErr w:type="spellStart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Питиус</w:t>
      </w:r>
      <w:proofErr w:type="spellEnd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» - 4 000,0 тыс. руб., ТОО «</w:t>
      </w:r>
      <w:proofErr w:type="spellStart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Рамзес</w:t>
      </w:r>
      <w:proofErr w:type="spellEnd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- 1 363,2 тыс. руб., МУ комбинат по благоустройству </w:t>
      </w:r>
      <w:proofErr w:type="spellStart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г.Гагра</w:t>
      </w:r>
      <w:proofErr w:type="spellEnd"/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2 175,0 тыс. руб., ОПК «Пицунда» - 16 429,0 тыс. руб. Общая сумма </w:t>
      </w:r>
      <w:r w:rsidR="00501C2E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неисполнения плана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вышеперечисленным предприятиям и организациям составила – 107 638,9 тыс.</w:t>
      </w:r>
      <w:r w:rsidR="0050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2F3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D77548" w:rsidRPr="0028745F" w:rsidRDefault="00666AA5" w:rsidP="00AA39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45F">
        <w:rPr>
          <w:rFonts w:ascii="Times New Roman" w:hAnsi="Times New Roman" w:cs="Times New Roman"/>
          <w:sz w:val="28"/>
          <w:szCs w:val="28"/>
        </w:rPr>
        <w:t xml:space="preserve">Поступление за </w:t>
      </w:r>
      <w:r w:rsidR="00C2188D" w:rsidRPr="0028745F">
        <w:rPr>
          <w:rFonts w:ascii="Times New Roman" w:hAnsi="Times New Roman" w:cs="Times New Roman"/>
          <w:sz w:val="28"/>
          <w:szCs w:val="28"/>
        </w:rPr>
        <w:t>2017</w:t>
      </w:r>
      <w:r w:rsidR="0028745F" w:rsidRPr="0028745F">
        <w:rPr>
          <w:rFonts w:ascii="Times New Roman" w:hAnsi="Times New Roman" w:cs="Times New Roman"/>
          <w:sz w:val="28"/>
          <w:szCs w:val="28"/>
        </w:rPr>
        <w:t xml:space="preserve"> год</w:t>
      </w:r>
      <w:r w:rsidR="00D77548">
        <w:rPr>
          <w:rFonts w:ascii="Times New Roman" w:hAnsi="Times New Roman" w:cs="Times New Roman"/>
          <w:sz w:val="28"/>
          <w:szCs w:val="28"/>
        </w:rPr>
        <w:t xml:space="preserve"> акцизов</w:t>
      </w:r>
      <w:r w:rsidRPr="0028745F">
        <w:rPr>
          <w:rFonts w:ascii="Times New Roman" w:hAnsi="Times New Roman" w:cs="Times New Roman"/>
          <w:sz w:val="28"/>
          <w:szCs w:val="28"/>
        </w:rPr>
        <w:t xml:space="preserve"> в бюджет района составило</w:t>
      </w:r>
      <w:r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45F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23 467,9</w:t>
      </w:r>
      <w:r w:rsidRPr="0028745F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78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на </w:t>
      </w:r>
      <w:r w:rsidR="0028745F" w:rsidRPr="0078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14 340,5</w:t>
      </w:r>
      <w:r w:rsidR="00C2188D" w:rsidRPr="0078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02F3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28745F">
        <w:rPr>
          <w:rFonts w:ascii="Times New Roman" w:hAnsi="Times New Roman" w:cs="Times New Roman"/>
          <w:sz w:val="28"/>
          <w:szCs w:val="28"/>
        </w:rPr>
        <w:t xml:space="preserve">. руб. </w:t>
      </w:r>
      <w:r w:rsidRPr="00A57831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28745F">
        <w:rPr>
          <w:rFonts w:ascii="Times New Roman" w:hAnsi="Times New Roman" w:cs="Times New Roman"/>
          <w:sz w:val="28"/>
          <w:szCs w:val="28"/>
        </w:rPr>
        <w:t xml:space="preserve"> утвержденной суммы или </w:t>
      </w:r>
      <w:r w:rsidR="0028745F" w:rsidRPr="0028745F">
        <w:rPr>
          <w:rFonts w:ascii="Times New Roman" w:eastAsia="Times New Roman" w:hAnsi="Times New Roman" w:cs="Times New Roman"/>
          <w:sz w:val="28"/>
          <w:szCs w:val="28"/>
          <w:lang w:eastAsia="ru-RU"/>
        </w:rPr>
        <w:t>257,1</w:t>
      </w:r>
      <w:r w:rsidRPr="0028745F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F3511C" w:rsidRPr="00730AC2" w:rsidRDefault="00666AA5" w:rsidP="00934F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земельного налога 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рассматриваемый период составило </w:t>
      </w:r>
      <w:r w:rsidR="0028745F"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33 906,0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28745F"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9 325,5</w:t>
      </w:r>
      <w:r w:rsidR="007C1221"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 прогнозируемой суммы</w:t>
      </w:r>
      <w:r w:rsidR="00934F3E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934F3E"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78,4 </w:t>
      </w:r>
      <w:r w:rsidR="00934F3E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  <w:r w:rsidR="00D77548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при планировании бюджета района отсутствовали плановые показатели по налогу на землю по многим организациям, которые фактически обеспечили оплату данного вида налога в бюджет района.</w:t>
      </w:r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Например, юридическое лицо «</w:t>
      </w:r>
      <w:proofErr w:type="spellStart"/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77548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шара</w:t>
      </w:r>
      <w:proofErr w:type="spellEnd"/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7548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ойсервис</w:t>
      </w:r>
      <w:proofErr w:type="spellEnd"/>
      <w:r w:rsidR="00177D2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» при отсутствии планового показателя фактический платеж составил -480, тыс. руб.</w:t>
      </w:r>
      <w:r w:rsidR="00EE785C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, «НДК» при отсутствии планового показателя фактический платеж составил – 470,4 тыс. руб., «</w:t>
      </w:r>
      <w:proofErr w:type="spellStart"/>
      <w:r w:rsidR="00EE785C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Сабинар</w:t>
      </w:r>
      <w:proofErr w:type="spellEnd"/>
      <w:r w:rsidR="00EE785C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» - 238,7 тыс. руб., СП «Мельник №1» 108,3 тыс. руб.</w:t>
      </w:r>
      <w:r w:rsidR="00304FC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AA39F7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Ностальгия</w:t>
      </w:r>
      <w:r w:rsidR="00304FC5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» - 140,0 тыс. руб., «Лу ка» - 348,0 тыс. руб.</w:t>
      </w:r>
      <w:r w:rsidR="00BF6DE1"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511C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общего плана доходов по налогу на землю даже при наличии дополнительных поступлений по вышеперечисленным организациям свидетельствует о недостаточном использовании потенциала администрировани</w:t>
      </w:r>
      <w:r w:rsidR="004378D1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я налоговыми орган</w:t>
      </w:r>
      <w:r w:rsidR="00233841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4378D1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(ИМНС по </w:t>
      </w:r>
      <w:proofErr w:type="spellStart"/>
      <w:r w:rsidR="004378D1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3511C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агрскому</w:t>
      </w:r>
      <w:proofErr w:type="spellEnd"/>
      <w:r w:rsidR="00F3511C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району).</w:t>
      </w:r>
    </w:p>
    <w:p w:rsidR="00453D03" w:rsidRPr="00934F3E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F3E">
        <w:rPr>
          <w:rFonts w:ascii="Times New Roman" w:hAnsi="Times New Roman" w:cs="Times New Roman"/>
          <w:sz w:val="28"/>
          <w:szCs w:val="28"/>
        </w:rPr>
        <w:lastRenderedPageBreak/>
        <w:t>Налог на имущество</w:t>
      </w:r>
      <w:r w:rsidR="0029035A" w:rsidRPr="00934F3E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934F3E">
        <w:rPr>
          <w:rFonts w:ascii="Times New Roman" w:hAnsi="Times New Roman" w:cs="Times New Roman"/>
          <w:sz w:val="28"/>
          <w:szCs w:val="28"/>
        </w:rPr>
        <w:t xml:space="preserve"> за рассматриваемый период поступил в сумме </w:t>
      </w:r>
      <w:r w:rsidR="0028745F" w:rsidRPr="00934F3E">
        <w:rPr>
          <w:rFonts w:ascii="Times New Roman" w:eastAsia="Times New Roman" w:hAnsi="Times New Roman" w:cs="Times New Roman"/>
          <w:sz w:val="28"/>
          <w:szCs w:val="28"/>
          <w:lang w:eastAsia="ru-RU"/>
        </w:rPr>
        <w:t>10 413,2</w:t>
      </w:r>
      <w:r w:rsidRPr="00934F3E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8745F" w:rsidRPr="009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571,6 </w:t>
      </w:r>
      <w:r w:rsidR="003040D3" w:rsidRPr="00934F3E">
        <w:rPr>
          <w:rFonts w:ascii="Times New Roman" w:hAnsi="Times New Roman" w:cs="Times New Roman"/>
          <w:sz w:val="28"/>
          <w:szCs w:val="28"/>
        </w:rPr>
        <w:t>тыс. руб. бол</w:t>
      </w:r>
      <w:r w:rsidRPr="00934F3E">
        <w:rPr>
          <w:rFonts w:ascii="Times New Roman" w:hAnsi="Times New Roman" w:cs="Times New Roman"/>
          <w:sz w:val="28"/>
          <w:szCs w:val="28"/>
        </w:rPr>
        <w:t xml:space="preserve">ьше прогнозного значения или </w:t>
      </w:r>
      <w:r w:rsidR="0028745F" w:rsidRPr="00934F3E">
        <w:rPr>
          <w:rFonts w:ascii="Times New Roman" w:eastAsia="Times New Roman" w:hAnsi="Times New Roman" w:cs="Times New Roman"/>
          <w:sz w:val="28"/>
          <w:szCs w:val="28"/>
          <w:lang w:eastAsia="ru-RU"/>
        </w:rPr>
        <w:t>105,8</w:t>
      </w:r>
      <w:r w:rsidRPr="00934F3E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666AA5" w:rsidRPr="0053394D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Поступление по специальному налогу на отдельные </w:t>
      </w:r>
      <w:r w:rsidR="005019DD">
        <w:rPr>
          <w:rFonts w:ascii="Times New Roman" w:hAnsi="Times New Roman" w:cs="Times New Roman"/>
          <w:sz w:val="28"/>
          <w:szCs w:val="28"/>
        </w:rPr>
        <w:t>виды деятельности прогнозировало</w:t>
      </w:r>
      <w:r w:rsidRPr="0053394D">
        <w:rPr>
          <w:rFonts w:ascii="Times New Roman" w:hAnsi="Times New Roman" w:cs="Times New Roman"/>
          <w:sz w:val="28"/>
          <w:szCs w:val="28"/>
        </w:rPr>
        <w:t xml:space="preserve">сь в сумме </w:t>
      </w:r>
      <w:r w:rsidR="0028745F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>52 526,0</w:t>
      </w:r>
      <w:r w:rsidRPr="0053394D">
        <w:rPr>
          <w:rFonts w:ascii="Times New Roman" w:hAnsi="Times New Roman" w:cs="Times New Roman"/>
          <w:sz w:val="28"/>
          <w:szCs w:val="28"/>
        </w:rPr>
        <w:t xml:space="preserve"> тыс. руб. фактическое поступление по данному виду налога составило </w:t>
      </w:r>
      <w:r w:rsidR="0028745F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>31 288,0</w:t>
      </w:r>
      <w:r w:rsidR="00670A97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4D">
        <w:rPr>
          <w:rFonts w:ascii="Times New Roman" w:hAnsi="Times New Roman" w:cs="Times New Roman"/>
          <w:sz w:val="28"/>
          <w:szCs w:val="28"/>
        </w:rPr>
        <w:t>тыс. руб., что</w:t>
      </w:r>
      <w:r w:rsidR="0029035A" w:rsidRPr="0053394D">
        <w:rPr>
          <w:rFonts w:ascii="Times New Roman" w:hAnsi="Times New Roman" w:cs="Times New Roman"/>
          <w:sz w:val="28"/>
          <w:szCs w:val="28"/>
        </w:rPr>
        <w:t xml:space="preserve"> на</w:t>
      </w:r>
      <w:r w:rsidRPr="0053394D">
        <w:rPr>
          <w:rFonts w:ascii="Times New Roman" w:hAnsi="Times New Roman" w:cs="Times New Roman"/>
          <w:sz w:val="28"/>
          <w:szCs w:val="28"/>
        </w:rPr>
        <w:t xml:space="preserve"> </w:t>
      </w:r>
      <w:r w:rsidR="0053394D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>21 238,0</w:t>
      </w:r>
      <w:r w:rsidR="00670A97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4D">
        <w:rPr>
          <w:rFonts w:ascii="Times New Roman" w:hAnsi="Times New Roman" w:cs="Times New Roman"/>
          <w:sz w:val="28"/>
          <w:szCs w:val="28"/>
        </w:rPr>
        <w:t>тыс. руб.</w:t>
      </w:r>
      <w:r w:rsidR="00670A97" w:rsidRPr="0053394D">
        <w:rPr>
          <w:rFonts w:ascii="Times New Roman" w:hAnsi="Times New Roman" w:cs="Times New Roman"/>
          <w:sz w:val="28"/>
          <w:szCs w:val="28"/>
        </w:rPr>
        <w:t xml:space="preserve"> меньше ожидаемой суммы или </w:t>
      </w:r>
      <w:r w:rsidR="0053394D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>59,6</w:t>
      </w:r>
      <w:r w:rsidRPr="0053394D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666AA5" w:rsidRPr="0053394D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Поступление курортного сбора в бюджет района за рассматриваемый период составило </w:t>
      </w:r>
      <w:r w:rsidR="0053394D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>1 849,4</w:t>
      </w:r>
      <w:r w:rsidR="00670A97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4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53394D" w:rsidRPr="0053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1 400,6 </w:t>
      </w:r>
      <w:r w:rsidRPr="0053394D">
        <w:rPr>
          <w:rFonts w:ascii="Times New Roman" w:hAnsi="Times New Roman" w:cs="Times New Roman"/>
          <w:sz w:val="28"/>
          <w:szCs w:val="28"/>
        </w:rPr>
        <w:t>тыс. руб. меньше прогнозного значения.</w:t>
      </w:r>
      <w:r w:rsidR="005019D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A39F7">
        <w:rPr>
          <w:rFonts w:ascii="Times New Roman" w:hAnsi="Times New Roman" w:cs="Times New Roman"/>
          <w:sz w:val="28"/>
          <w:szCs w:val="28"/>
        </w:rPr>
        <w:t>П</w:t>
      </w:r>
      <w:r w:rsidR="005019DD">
        <w:rPr>
          <w:rFonts w:ascii="Times New Roman" w:hAnsi="Times New Roman" w:cs="Times New Roman"/>
          <w:sz w:val="28"/>
          <w:szCs w:val="28"/>
        </w:rPr>
        <w:t xml:space="preserve">ояснительной </w:t>
      </w:r>
      <w:r w:rsidR="00AA39F7">
        <w:rPr>
          <w:rFonts w:ascii="Times New Roman" w:hAnsi="Times New Roman" w:cs="Times New Roman"/>
          <w:sz w:val="28"/>
          <w:szCs w:val="28"/>
        </w:rPr>
        <w:t>А</w:t>
      </w:r>
      <w:r w:rsidR="005019DD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="00F93AB2">
        <w:rPr>
          <w:rFonts w:ascii="Times New Roman" w:hAnsi="Times New Roman" w:cs="Times New Roman"/>
          <w:sz w:val="28"/>
          <w:szCs w:val="28"/>
        </w:rPr>
        <w:t>,</w:t>
      </w:r>
      <w:r w:rsidRPr="0053394D">
        <w:rPr>
          <w:rFonts w:ascii="Times New Roman" w:hAnsi="Times New Roman" w:cs="Times New Roman"/>
          <w:sz w:val="28"/>
          <w:szCs w:val="28"/>
        </w:rPr>
        <w:t xml:space="preserve"> </w:t>
      </w:r>
      <w:r w:rsidR="005019DD">
        <w:rPr>
          <w:rFonts w:ascii="Times New Roman" w:hAnsi="Times New Roman" w:cs="Times New Roman"/>
          <w:sz w:val="28"/>
          <w:szCs w:val="28"/>
        </w:rPr>
        <w:t>с</w:t>
      </w:r>
      <w:r w:rsidR="00AD5F3E">
        <w:rPr>
          <w:rFonts w:ascii="Times New Roman" w:hAnsi="Times New Roman" w:cs="Times New Roman"/>
          <w:sz w:val="28"/>
          <w:szCs w:val="28"/>
        </w:rPr>
        <w:t>нижение поступлений по данному виду налога обусловлено уменьшением турпотока в Республику Абхазия в 2017 году.</w:t>
      </w:r>
    </w:p>
    <w:p w:rsidR="00666AA5" w:rsidRPr="00AD5F3E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F3E">
        <w:rPr>
          <w:rFonts w:ascii="Times New Roman" w:hAnsi="Times New Roman" w:cs="Times New Roman"/>
          <w:sz w:val="28"/>
          <w:szCs w:val="28"/>
        </w:rPr>
        <w:t xml:space="preserve">Поступление платежей за пользование природными ресурсами составило </w:t>
      </w:r>
      <w:r w:rsidR="0053394D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180,3</w:t>
      </w:r>
      <w:r w:rsidRPr="00AD5F3E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53394D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21,8</w:t>
      </w:r>
      <w:r w:rsidR="00F93AB2">
        <w:rPr>
          <w:rFonts w:ascii="Times New Roman" w:hAnsi="Times New Roman" w:cs="Times New Roman"/>
          <w:sz w:val="28"/>
          <w:szCs w:val="28"/>
        </w:rPr>
        <w:t>% исполнения</w:t>
      </w:r>
      <w:r w:rsidRPr="00AD5F3E">
        <w:rPr>
          <w:rFonts w:ascii="Times New Roman" w:hAnsi="Times New Roman" w:cs="Times New Roman"/>
          <w:sz w:val="28"/>
          <w:szCs w:val="28"/>
        </w:rPr>
        <w:t xml:space="preserve"> прогнозного значения. </w:t>
      </w:r>
    </w:p>
    <w:p w:rsidR="00666AA5" w:rsidRPr="00AD5F3E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F3E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</w:t>
      </w:r>
      <w:r w:rsidR="003A1A7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D5F3E">
        <w:rPr>
          <w:rFonts w:ascii="Times New Roman" w:hAnsi="Times New Roman" w:cs="Times New Roman"/>
          <w:sz w:val="28"/>
          <w:szCs w:val="28"/>
        </w:rPr>
        <w:t xml:space="preserve">поступило доходов в виде арендной или иной платы за передачу в возмездное пользование муниципального имущества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2 370,3</w:t>
      </w:r>
      <w:r w:rsidRPr="00AD5F3E">
        <w:rPr>
          <w:rFonts w:ascii="Times New Roman" w:hAnsi="Times New Roman" w:cs="Times New Roman"/>
          <w:sz w:val="28"/>
          <w:szCs w:val="28"/>
        </w:rPr>
        <w:t xml:space="preserve"> тыс. руб. при прогнозном значении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2 300,00 </w:t>
      </w:r>
      <w:r w:rsidRPr="00AD5F3E">
        <w:rPr>
          <w:rFonts w:ascii="Times New Roman" w:hAnsi="Times New Roman" w:cs="Times New Roman"/>
          <w:sz w:val="28"/>
          <w:szCs w:val="28"/>
        </w:rPr>
        <w:t>тыс. руб.</w:t>
      </w:r>
      <w:r w:rsidR="00F00E05" w:rsidRPr="00AD5F3E">
        <w:rPr>
          <w:rFonts w:ascii="Times New Roman" w:hAnsi="Times New Roman" w:cs="Times New Roman"/>
          <w:sz w:val="28"/>
          <w:szCs w:val="28"/>
        </w:rPr>
        <w:t xml:space="preserve">, исполнение прогнозного значения составило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103,1</w:t>
      </w:r>
      <w:r w:rsidR="00670A97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E05" w:rsidRPr="00AD5F3E">
        <w:rPr>
          <w:rFonts w:ascii="Times New Roman" w:hAnsi="Times New Roman" w:cs="Times New Roman"/>
          <w:sz w:val="28"/>
          <w:szCs w:val="28"/>
        </w:rPr>
        <w:t>%.</w:t>
      </w:r>
    </w:p>
    <w:p w:rsidR="00666AA5" w:rsidRPr="00AD5F3E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F3E">
        <w:rPr>
          <w:rFonts w:ascii="Times New Roman" w:hAnsi="Times New Roman" w:cs="Times New Roman"/>
          <w:sz w:val="28"/>
          <w:szCs w:val="28"/>
        </w:rPr>
        <w:t xml:space="preserve">Доходы от продажи гражданам в частную собственность жилья из муниципального жилищного фонда за рассматриваемый период составили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1 346,8</w:t>
      </w:r>
      <w:r w:rsidR="00670A97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653,2 </w:t>
      </w:r>
      <w:r w:rsidRPr="00AD5F3E">
        <w:rPr>
          <w:rFonts w:ascii="Times New Roman" w:hAnsi="Times New Roman" w:cs="Times New Roman"/>
          <w:sz w:val="28"/>
          <w:szCs w:val="28"/>
        </w:rPr>
        <w:t xml:space="preserve">тыс. руб. меньше прогнозируемой суммы. </w:t>
      </w:r>
    </w:p>
    <w:p w:rsidR="00666AA5" w:rsidRPr="00AD5F3E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F3E">
        <w:rPr>
          <w:rFonts w:ascii="Times New Roman" w:hAnsi="Times New Roman" w:cs="Times New Roman"/>
          <w:sz w:val="28"/>
          <w:szCs w:val="28"/>
        </w:rPr>
        <w:t xml:space="preserve">В рамках дохода </w:t>
      </w:r>
      <w:r w:rsidR="003A1A74">
        <w:rPr>
          <w:rFonts w:ascii="Times New Roman" w:hAnsi="Times New Roman" w:cs="Times New Roman"/>
          <w:sz w:val="28"/>
          <w:szCs w:val="28"/>
        </w:rPr>
        <w:t>«</w:t>
      </w:r>
      <w:r w:rsidRPr="00AD5F3E">
        <w:rPr>
          <w:rFonts w:ascii="Times New Roman" w:hAnsi="Times New Roman" w:cs="Times New Roman"/>
          <w:sz w:val="28"/>
          <w:szCs w:val="28"/>
        </w:rPr>
        <w:t>административные платежи и сборы</w:t>
      </w:r>
      <w:r w:rsidR="003A1A74">
        <w:rPr>
          <w:rFonts w:ascii="Times New Roman" w:hAnsi="Times New Roman" w:cs="Times New Roman"/>
          <w:sz w:val="28"/>
          <w:szCs w:val="28"/>
        </w:rPr>
        <w:t>»</w:t>
      </w:r>
      <w:r w:rsidRPr="00AD5F3E">
        <w:rPr>
          <w:rFonts w:ascii="Times New Roman" w:hAnsi="Times New Roman" w:cs="Times New Roman"/>
          <w:sz w:val="28"/>
          <w:szCs w:val="28"/>
        </w:rPr>
        <w:t xml:space="preserve"> в бюджет района поступили платежи за размещение наружной рекламы в виде отдельно стоящих конструкций в сумме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547,2</w:t>
      </w:r>
      <w:r w:rsidR="00670A97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A261D8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91,2</w:t>
      </w:r>
      <w:r w:rsidR="00670A97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A261D8" w:rsidRPr="00AD5F3E" w:rsidRDefault="00A261D8" w:rsidP="00A2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0E05" w:rsidRPr="00730AC2" w:rsidRDefault="00A261D8" w:rsidP="00A261D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A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30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Расходная часть бюджета </w:t>
      </w:r>
      <w:proofErr w:type="spellStart"/>
      <w:r w:rsidRPr="00730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Гагрского</w:t>
      </w:r>
      <w:proofErr w:type="spellEnd"/>
      <w:r w:rsidRPr="00730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за 2017 год</w:t>
      </w:r>
    </w:p>
    <w:p w:rsidR="00F00E05" w:rsidRPr="00DB179A" w:rsidRDefault="007C1F66" w:rsidP="007C1F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0AC2">
        <w:rPr>
          <w:rFonts w:ascii="Times New Roman" w:hAnsi="Times New Roman" w:cs="Times New Roman"/>
          <w:sz w:val="28"/>
          <w:szCs w:val="28"/>
        </w:rPr>
        <w:t>Общая сумма расхо</w:t>
      </w:r>
      <w:r w:rsidR="00A261D8" w:rsidRPr="00730AC2">
        <w:rPr>
          <w:rFonts w:ascii="Times New Roman" w:hAnsi="Times New Roman" w:cs="Times New Roman"/>
          <w:sz w:val="28"/>
          <w:szCs w:val="28"/>
        </w:rPr>
        <w:t xml:space="preserve">дов бюджета </w:t>
      </w:r>
      <w:proofErr w:type="spellStart"/>
      <w:r w:rsidR="00A261D8" w:rsidRPr="00730AC2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A261D8" w:rsidRPr="00730AC2"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C0250F" w:rsidRPr="00730AC2">
        <w:rPr>
          <w:rFonts w:ascii="Times New Roman" w:hAnsi="Times New Roman" w:cs="Times New Roman"/>
          <w:sz w:val="28"/>
          <w:szCs w:val="28"/>
        </w:rPr>
        <w:t>2017</w:t>
      </w:r>
      <w:r w:rsidR="00A261D8" w:rsidRPr="00730AC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30AC2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261D8" w:rsidRPr="00730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352 529,2</w:t>
      </w:r>
      <w:r w:rsidRPr="00730AC2">
        <w:rPr>
          <w:rFonts w:ascii="Times New Roman" w:hAnsi="Times New Roman" w:cs="Times New Roman"/>
          <w:sz w:val="28"/>
          <w:szCs w:val="28"/>
        </w:rPr>
        <w:t xml:space="preserve"> тыс. руб. при плане </w:t>
      </w:r>
      <w:r w:rsidR="00A261D8" w:rsidRPr="00730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473 948,80</w:t>
      </w:r>
      <w:r w:rsidRPr="00730AC2">
        <w:rPr>
          <w:rFonts w:ascii="Times New Roman" w:hAnsi="Times New Roman" w:cs="Times New Roman"/>
          <w:sz w:val="28"/>
          <w:szCs w:val="28"/>
        </w:rPr>
        <w:t xml:space="preserve"> тыс. руб., утвержденные бюджетные назначения не исполнены в сумме </w:t>
      </w:r>
      <w:r w:rsidR="00A261D8" w:rsidRPr="00730AC2">
        <w:rPr>
          <w:rFonts w:ascii="Times New Roman" w:eastAsia="Times New Roman" w:hAnsi="Times New Roman" w:cs="Times New Roman"/>
          <w:sz w:val="28"/>
          <w:szCs w:val="28"/>
          <w:lang w:eastAsia="ru-RU"/>
        </w:rPr>
        <w:t>121 419,6</w:t>
      </w:r>
      <w:r w:rsidRPr="00730AC2">
        <w:rPr>
          <w:rFonts w:ascii="Times New Roman" w:hAnsi="Times New Roman" w:cs="Times New Roman"/>
          <w:sz w:val="28"/>
          <w:szCs w:val="28"/>
        </w:rPr>
        <w:t xml:space="preserve"> тыс. руб. Финан</w:t>
      </w:r>
      <w:r w:rsidRPr="00A261D8">
        <w:rPr>
          <w:rFonts w:ascii="Times New Roman" w:hAnsi="Times New Roman" w:cs="Times New Roman"/>
          <w:sz w:val="28"/>
          <w:szCs w:val="28"/>
        </w:rPr>
        <w:t xml:space="preserve">сирование </w:t>
      </w:r>
      <w:r w:rsidRPr="00A261D8">
        <w:rPr>
          <w:rFonts w:ascii="Times New Roman" w:hAnsi="Times New Roman" w:cs="Times New Roman"/>
          <w:sz w:val="28"/>
          <w:szCs w:val="28"/>
        </w:rPr>
        <w:lastRenderedPageBreak/>
        <w:t xml:space="preserve">расходов осуществлялось по восьми направлениям бюджетной классификации, что отражено в таблице №2.  В структуре расходов района в рамках разделов бюджетной классификации наибольший удельный вес приходится на расходы по разделу «образование» – </w:t>
      </w:r>
      <w:r w:rsidR="00A261D8" w:rsidRPr="00A261D8">
        <w:rPr>
          <w:rFonts w:ascii="Times New Roman" w:eastAsia="Times New Roman" w:hAnsi="Times New Roman" w:cs="Times New Roman"/>
          <w:sz w:val="28"/>
          <w:szCs w:val="28"/>
          <w:lang w:eastAsia="ru-RU"/>
        </w:rPr>
        <w:t>42,8</w:t>
      </w:r>
      <w:r w:rsidRPr="00A261D8">
        <w:rPr>
          <w:rFonts w:ascii="Times New Roman" w:hAnsi="Times New Roman" w:cs="Times New Roman"/>
          <w:sz w:val="28"/>
          <w:szCs w:val="28"/>
        </w:rPr>
        <w:t xml:space="preserve">%, «ЖКХ» – </w:t>
      </w:r>
      <w:r w:rsidR="00A261D8" w:rsidRPr="00A261D8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Pr="00A261D8">
        <w:rPr>
          <w:rFonts w:ascii="Times New Roman" w:hAnsi="Times New Roman" w:cs="Times New Roman"/>
          <w:sz w:val="28"/>
          <w:szCs w:val="28"/>
        </w:rPr>
        <w:t xml:space="preserve">%, «Здравоохранение» – </w:t>
      </w:r>
      <w:r w:rsidR="00A261D8" w:rsidRPr="00A2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14,7 </w:t>
      </w:r>
      <w:r w:rsidRPr="00A261D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72E0A" w:rsidRPr="00172E0A" w:rsidRDefault="00172E0A" w:rsidP="00172E0A">
      <w:pPr>
        <w:rPr>
          <w:rFonts w:ascii="Times New Roman" w:hAnsi="Times New Roman" w:cs="Times New Roman"/>
          <w:sz w:val="24"/>
          <w:szCs w:val="24"/>
        </w:rPr>
      </w:pPr>
    </w:p>
    <w:p w:rsidR="00172E0A" w:rsidRPr="00172E0A" w:rsidRDefault="00172E0A" w:rsidP="00172E0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2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Расходная часть бюджета </w:t>
      </w:r>
      <w:proofErr w:type="spellStart"/>
      <w:r w:rsidRPr="00172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Гагрского</w:t>
      </w:r>
      <w:proofErr w:type="spellEnd"/>
      <w:r w:rsidRPr="00172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за </w:t>
      </w:r>
      <w:r w:rsidR="00096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2017 год</w:t>
      </w:r>
    </w:p>
    <w:p w:rsidR="00172E0A" w:rsidRPr="00F47F43" w:rsidRDefault="00172E0A" w:rsidP="00172E0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43">
        <w:rPr>
          <w:rFonts w:ascii="Times New Roman" w:hAnsi="Times New Roman" w:cs="Times New Roman"/>
          <w:b/>
          <w:sz w:val="24"/>
          <w:szCs w:val="24"/>
        </w:rPr>
        <w:t xml:space="preserve">Таблица №2                                                                                                            </w:t>
      </w:r>
      <w:proofErr w:type="gramStart"/>
      <w:r w:rsidRPr="00F47F4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F47F43">
        <w:rPr>
          <w:rFonts w:ascii="Times New Roman" w:hAnsi="Times New Roman" w:cs="Times New Roman"/>
          <w:b/>
          <w:sz w:val="24"/>
          <w:szCs w:val="24"/>
        </w:rPr>
        <w:t>тыс. руб.)</w:t>
      </w:r>
    </w:p>
    <w:tbl>
      <w:tblPr>
        <w:tblpPr w:leftFromText="180" w:rightFromText="180" w:vertAnchor="text" w:horzAnchor="margin" w:tblpXSpec="center" w:tblpY="151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985"/>
        <w:gridCol w:w="1559"/>
        <w:gridCol w:w="1559"/>
        <w:gridCol w:w="1276"/>
        <w:gridCol w:w="1276"/>
      </w:tblGrid>
      <w:tr w:rsidR="004661E4" w:rsidRPr="004661E4" w:rsidTr="004661E4">
        <w:trPr>
          <w:trHeight w:val="1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Прогнозируемые расходы на 2017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на 2017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4661E4" w:rsidRPr="004661E4" w:rsidTr="004661E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44 780,9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40 914,3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-3 866,6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4661E4" w:rsidRPr="004661E4" w:rsidTr="004661E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34 109,4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27 390,2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-6 719,2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4661E4" w:rsidRPr="004661E4" w:rsidTr="004661E4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101 275,0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67 478,3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-33 796,7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4661E4" w:rsidRPr="004661E4" w:rsidTr="004661E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191 221,8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166 607,3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-24 614,5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4661E4" w:rsidRPr="004661E4" w:rsidTr="004661E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69 357,8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57 285,7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-12 072,1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</w:tr>
      <w:tr w:rsidR="004661E4" w:rsidRPr="004661E4" w:rsidTr="004661E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и </w:t>
            </w:r>
            <w:proofErr w:type="spellStart"/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искусстово</w:t>
            </w:r>
            <w:proofErr w:type="spellEnd"/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22 093,9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18 266,7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-3 827,2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4661E4" w:rsidRPr="004661E4" w:rsidTr="004661E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10 471,7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9 667,8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4661E4" w:rsidRPr="004661E4" w:rsidTr="004661E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1 538,3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1 492,3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661E4" w:rsidRPr="004661E4" w:rsidTr="004661E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474 848,8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389 102,6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lang w:eastAsia="ru-RU"/>
              </w:rPr>
              <w:t>-85 746,2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61E4" w:rsidRPr="004661E4" w:rsidRDefault="004661E4" w:rsidP="004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1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666AA5" w:rsidRPr="00172E0A" w:rsidRDefault="00666AA5" w:rsidP="00172E0A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F9329D" w:rsidRDefault="00F9329D" w:rsidP="00AA39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13C" w:rsidRPr="00B1085D" w:rsidRDefault="00666AA5" w:rsidP="00AA39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0100 </w:t>
      </w:r>
      <w:r w:rsidRPr="00B1085D"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40 914,3</w:t>
      </w:r>
      <w:r w:rsidR="00EB39D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3 866,6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B39D3" w:rsidRPr="00B1085D">
        <w:rPr>
          <w:rFonts w:ascii="Times New Roman" w:hAnsi="Times New Roman" w:cs="Times New Roman"/>
          <w:sz w:val="28"/>
          <w:szCs w:val="28"/>
        </w:rPr>
        <w:t>мен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ьше </w:t>
      </w:r>
      <w:r w:rsidRPr="00B1085D">
        <w:rPr>
          <w:rFonts w:ascii="Times New Roman" w:hAnsi="Times New Roman" w:cs="Times New Roman"/>
          <w:sz w:val="28"/>
          <w:szCs w:val="28"/>
        </w:rPr>
        <w:t xml:space="preserve">утвержденных бюджетных назначений 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91,4</w:t>
      </w:r>
      <w:r w:rsidR="00EB39D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83A">
        <w:rPr>
          <w:rFonts w:ascii="Times New Roman" w:hAnsi="Times New Roman" w:cs="Times New Roman"/>
          <w:sz w:val="28"/>
          <w:szCs w:val="28"/>
        </w:rPr>
        <w:t xml:space="preserve">% исполнения. При этом недофинансирование органов </w:t>
      </w:r>
      <w:r w:rsidR="00487CCE">
        <w:rPr>
          <w:rFonts w:ascii="Times New Roman" w:hAnsi="Times New Roman" w:cs="Times New Roman"/>
          <w:sz w:val="28"/>
          <w:szCs w:val="28"/>
        </w:rPr>
        <w:t>государственного управления</w:t>
      </w:r>
      <w:r w:rsidR="00C7283A">
        <w:rPr>
          <w:rFonts w:ascii="Times New Roman" w:hAnsi="Times New Roman" w:cs="Times New Roman"/>
          <w:sz w:val="28"/>
          <w:szCs w:val="28"/>
        </w:rPr>
        <w:t xml:space="preserve"> составило - 3 001,2 тыс. руб., органов местного самоуправления - 424,0 тыс. руб.,</w:t>
      </w:r>
      <w:r w:rsidR="00C0284D">
        <w:rPr>
          <w:rFonts w:ascii="Times New Roman" w:hAnsi="Times New Roman" w:cs="Times New Roman"/>
          <w:sz w:val="28"/>
          <w:szCs w:val="28"/>
        </w:rPr>
        <w:t xml:space="preserve"> по резервному</w:t>
      </w:r>
      <w:r w:rsidR="00C7283A">
        <w:rPr>
          <w:rFonts w:ascii="Times New Roman" w:hAnsi="Times New Roman" w:cs="Times New Roman"/>
          <w:sz w:val="28"/>
          <w:szCs w:val="28"/>
        </w:rPr>
        <w:t xml:space="preserve"> фонд</w:t>
      </w:r>
      <w:r w:rsidR="00C0284D">
        <w:rPr>
          <w:rFonts w:ascii="Times New Roman" w:hAnsi="Times New Roman" w:cs="Times New Roman"/>
          <w:sz w:val="28"/>
          <w:szCs w:val="28"/>
        </w:rPr>
        <w:t>у</w:t>
      </w:r>
      <w:r w:rsidR="00C7283A">
        <w:rPr>
          <w:rFonts w:ascii="Times New Roman" w:hAnsi="Times New Roman" w:cs="Times New Roman"/>
          <w:sz w:val="28"/>
          <w:szCs w:val="28"/>
        </w:rPr>
        <w:t xml:space="preserve"> – 154,5 тыс. руб.</w:t>
      </w:r>
    </w:p>
    <w:p w:rsidR="00B1085D" w:rsidRPr="00B1085D" w:rsidRDefault="00666AA5" w:rsidP="00DB2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0400 </w:t>
      </w:r>
      <w:r w:rsidRPr="00B1085D">
        <w:rPr>
          <w:rFonts w:ascii="Times New Roman" w:hAnsi="Times New Roman" w:cs="Times New Roman"/>
          <w:sz w:val="28"/>
          <w:szCs w:val="28"/>
        </w:rPr>
        <w:t xml:space="preserve">«Национальная экономика» были запланированы расходы в сумме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34 109,4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 фактические расходы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27 390,2</w:t>
      </w:r>
      <w:r w:rsidR="001D1B5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6 719,2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назначений. </w:t>
      </w:r>
      <w:r w:rsidR="00C7283A">
        <w:rPr>
          <w:rFonts w:ascii="Times New Roman" w:hAnsi="Times New Roman" w:cs="Times New Roman"/>
          <w:sz w:val="28"/>
          <w:szCs w:val="28"/>
        </w:rPr>
        <w:t xml:space="preserve">При этом недофинансирование </w:t>
      </w:r>
      <w:r w:rsidR="00487CCE">
        <w:rPr>
          <w:rFonts w:ascii="Times New Roman" w:hAnsi="Times New Roman" w:cs="Times New Roman"/>
          <w:sz w:val="28"/>
          <w:szCs w:val="28"/>
        </w:rPr>
        <w:t>по подразделу «строительство» составило – 1 839,3 тыс. руб., «транспорт» - 2 060,0 тыс. руб., «сельское хозяйство» - 2 819,9 тыс. руб.</w:t>
      </w:r>
    </w:p>
    <w:p w:rsidR="00BF15BC" w:rsidRPr="00B1085D" w:rsidRDefault="00666AA5" w:rsidP="00B108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0500 </w:t>
      </w:r>
      <w:r w:rsidRPr="00B1085D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хозяйство»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67 478,3</w:t>
      </w:r>
      <w:r w:rsidR="001D1B5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тыс. руб. при утвержденных бюджетных назначениях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101 275,0</w:t>
      </w:r>
      <w:r w:rsidR="001D1B5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тыс. руб. Таким образом не исполнены расходные обязательства на сумму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33 796,7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F15BC" w:rsidRPr="00B1085D">
        <w:rPr>
          <w:rFonts w:ascii="Times New Roman" w:hAnsi="Times New Roman" w:cs="Times New Roman"/>
          <w:sz w:val="28"/>
          <w:szCs w:val="28"/>
        </w:rPr>
        <w:t xml:space="preserve"> </w:t>
      </w:r>
      <w:r w:rsidR="00487CCE">
        <w:rPr>
          <w:rFonts w:ascii="Times New Roman" w:hAnsi="Times New Roman" w:cs="Times New Roman"/>
          <w:sz w:val="28"/>
          <w:szCs w:val="28"/>
        </w:rPr>
        <w:t>При этом недофинансирование по подразделу «Благоустройство» составило – 33 124,1 тыс. руб., дотация по ЖКХ – 672,6 тыс. руб.</w:t>
      </w:r>
    </w:p>
    <w:p w:rsidR="002F32A6" w:rsidRPr="00B1085D" w:rsidRDefault="00666AA5" w:rsidP="00CC51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0700 </w:t>
      </w:r>
      <w:r w:rsidRPr="00B1085D">
        <w:rPr>
          <w:rFonts w:ascii="Times New Roman" w:hAnsi="Times New Roman" w:cs="Times New Roman"/>
          <w:sz w:val="28"/>
          <w:szCs w:val="28"/>
        </w:rPr>
        <w:t xml:space="preserve">«Образование» за рассматриваемый период расходы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166 607,3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 что на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24 614,5</w:t>
      </w:r>
      <w:r w:rsidRPr="00B1085D"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назначений 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87,1</w:t>
      </w:r>
      <w:r w:rsidR="00A5085B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CC518E">
        <w:rPr>
          <w:rFonts w:ascii="Times New Roman" w:hAnsi="Times New Roman" w:cs="Times New Roman"/>
          <w:sz w:val="28"/>
          <w:szCs w:val="28"/>
        </w:rPr>
        <w:t>Недофинансирование по подразделу «Дошкольное образование» составило - 11 040,0 тыс. руб., «общее образование» 13 196,5 тыс. руб., «Другие вопросы в области образования» - 378,0 тыс. руб.</w:t>
      </w:r>
    </w:p>
    <w:p w:rsidR="00B1085D" w:rsidRPr="00B1085D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0800 </w:t>
      </w:r>
      <w:r w:rsidRPr="00B1085D">
        <w:rPr>
          <w:rFonts w:ascii="Times New Roman" w:hAnsi="Times New Roman" w:cs="Times New Roman"/>
          <w:sz w:val="28"/>
          <w:szCs w:val="28"/>
        </w:rPr>
        <w:t xml:space="preserve">«Здравоохранение» за рассматриваемый период расходы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57 285,7</w:t>
      </w:r>
      <w:r w:rsidR="00EB39D3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5D">
        <w:rPr>
          <w:rFonts w:ascii="Times New Roman" w:hAnsi="Times New Roman" w:cs="Times New Roman"/>
          <w:sz w:val="28"/>
          <w:szCs w:val="28"/>
        </w:rPr>
        <w:t xml:space="preserve">тыс. руб. при утвержденных бюджетных назначениях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69 357,8</w:t>
      </w:r>
      <w:r w:rsidR="00EB39D3" w:rsidRPr="00B1085D">
        <w:rPr>
          <w:rFonts w:ascii="Times New Roman" w:hAnsi="Times New Roman" w:cs="Times New Roman"/>
          <w:sz w:val="28"/>
          <w:szCs w:val="28"/>
        </w:rPr>
        <w:t xml:space="preserve"> тыс</w:t>
      </w:r>
      <w:r w:rsidR="00B1085D" w:rsidRPr="00B1085D">
        <w:rPr>
          <w:rFonts w:ascii="Times New Roman" w:hAnsi="Times New Roman" w:cs="Times New Roman"/>
          <w:sz w:val="28"/>
          <w:szCs w:val="28"/>
        </w:rPr>
        <w:t>. руб.</w:t>
      </w:r>
      <w:r w:rsidR="00C516DD">
        <w:rPr>
          <w:rFonts w:ascii="Times New Roman" w:hAnsi="Times New Roman" w:cs="Times New Roman"/>
          <w:sz w:val="28"/>
          <w:szCs w:val="28"/>
        </w:rPr>
        <w:t xml:space="preserve"> Недофина</w:t>
      </w:r>
      <w:r w:rsidR="00CC518E">
        <w:rPr>
          <w:rFonts w:ascii="Times New Roman" w:hAnsi="Times New Roman" w:cs="Times New Roman"/>
          <w:sz w:val="28"/>
          <w:szCs w:val="28"/>
        </w:rPr>
        <w:t>н</w:t>
      </w:r>
      <w:r w:rsidR="00C516DD">
        <w:rPr>
          <w:rFonts w:ascii="Times New Roman" w:hAnsi="Times New Roman" w:cs="Times New Roman"/>
          <w:sz w:val="28"/>
          <w:szCs w:val="28"/>
        </w:rPr>
        <w:t>сирование по подразделу «Медицинская помощь населению» составило – 11</w:t>
      </w:r>
      <w:r w:rsidR="00B23B44">
        <w:rPr>
          <w:rFonts w:ascii="Times New Roman" w:hAnsi="Times New Roman" w:cs="Times New Roman"/>
          <w:sz w:val="28"/>
          <w:szCs w:val="28"/>
        </w:rPr>
        <w:t> 604,2</w:t>
      </w:r>
      <w:r w:rsidR="00C516DD">
        <w:rPr>
          <w:rFonts w:ascii="Times New Roman" w:hAnsi="Times New Roman" w:cs="Times New Roman"/>
          <w:sz w:val="28"/>
          <w:szCs w:val="28"/>
        </w:rPr>
        <w:t xml:space="preserve"> тыс. руб., «</w:t>
      </w:r>
      <w:r w:rsidR="00B23B44">
        <w:rPr>
          <w:rFonts w:ascii="Times New Roman" w:hAnsi="Times New Roman" w:cs="Times New Roman"/>
          <w:sz w:val="28"/>
          <w:szCs w:val="28"/>
        </w:rPr>
        <w:t>СЭС</w:t>
      </w:r>
      <w:r w:rsidR="00C516DD">
        <w:rPr>
          <w:rFonts w:ascii="Times New Roman" w:hAnsi="Times New Roman" w:cs="Times New Roman"/>
          <w:sz w:val="28"/>
          <w:szCs w:val="28"/>
        </w:rPr>
        <w:t xml:space="preserve">» </w:t>
      </w:r>
      <w:r w:rsidR="00B23B44">
        <w:rPr>
          <w:rFonts w:ascii="Times New Roman" w:hAnsi="Times New Roman" w:cs="Times New Roman"/>
          <w:sz w:val="28"/>
          <w:szCs w:val="28"/>
        </w:rPr>
        <w:t>-290,8</w:t>
      </w:r>
      <w:r w:rsidR="00C516DD">
        <w:rPr>
          <w:rFonts w:ascii="Times New Roman" w:hAnsi="Times New Roman" w:cs="Times New Roman"/>
          <w:sz w:val="28"/>
          <w:szCs w:val="28"/>
        </w:rPr>
        <w:t xml:space="preserve"> тыс. руб., «Другие вопросы в области </w:t>
      </w:r>
      <w:r w:rsidR="0034500A">
        <w:rPr>
          <w:rFonts w:ascii="Times New Roman" w:hAnsi="Times New Roman" w:cs="Times New Roman"/>
          <w:sz w:val="28"/>
          <w:szCs w:val="28"/>
        </w:rPr>
        <w:t>здравоохранения</w:t>
      </w:r>
      <w:r w:rsidR="00C516DD">
        <w:rPr>
          <w:rFonts w:ascii="Times New Roman" w:hAnsi="Times New Roman" w:cs="Times New Roman"/>
          <w:sz w:val="28"/>
          <w:szCs w:val="28"/>
        </w:rPr>
        <w:t>»</w:t>
      </w:r>
      <w:r w:rsidR="0034500A">
        <w:rPr>
          <w:rFonts w:ascii="Times New Roman" w:hAnsi="Times New Roman" w:cs="Times New Roman"/>
          <w:sz w:val="28"/>
          <w:szCs w:val="28"/>
        </w:rPr>
        <w:t xml:space="preserve"> - 177,1</w:t>
      </w:r>
      <w:r w:rsidR="00C516D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13D51" w:rsidRPr="00B1085D" w:rsidRDefault="00EB39D3" w:rsidP="000A51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 </w:t>
      </w:r>
      <w:r w:rsidR="00666AA5" w:rsidRPr="00B1085D">
        <w:rPr>
          <w:rFonts w:ascii="Times New Roman" w:hAnsi="Times New Roman" w:cs="Times New Roman"/>
          <w:sz w:val="28"/>
          <w:szCs w:val="28"/>
        </w:rPr>
        <w:t>Расходы раздела</w:t>
      </w:r>
      <w:r w:rsidR="00F00E05" w:rsidRPr="00B1085D">
        <w:rPr>
          <w:rFonts w:ascii="Times New Roman" w:hAnsi="Times New Roman" w:cs="Times New Roman"/>
          <w:sz w:val="28"/>
          <w:szCs w:val="28"/>
        </w:rPr>
        <w:t xml:space="preserve"> 0900</w:t>
      </w:r>
      <w:r w:rsidR="00C758E4">
        <w:rPr>
          <w:rFonts w:ascii="Times New Roman" w:hAnsi="Times New Roman" w:cs="Times New Roman"/>
          <w:sz w:val="28"/>
          <w:szCs w:val="28"/>
        </w:rPr>
        <w:t xml:space="preserve"> «Культура и искусство, средства</w:t>
      </w:r>
      <w:r w:rsidR="00666AA5" w:rsidRPr="00B1085D">
        <w:rPr>
          <w:rFonts w:ascii="Times New Roman" w:hAnsi="Times New Roman" w:cs="Times New Roman"/>
          <w:sz w:val="28"/>
          <w:szCs w:val="28"/>
        </w:rPr>
        <w:t xml:space="preserve"> массовой информации» составили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18 266,7</w:t>
      </w:r>
      <w:r w:rsidR="00A5085B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A5" w:rsidRPr="00B1085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3 827,2</w:t>
      </w:r>
      <w:r w:rsidR="00A5085B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A5" w:rsidRPr="00B1085D">
        <w:rPr>
          <w:rFonts w:ascii="Times New Roman" w:hAnsi="Times New Roman" w:cs="Times New Roman"/>
          <w:sz w:val="28"/>
          <w:szCs w:val="28"/>
        </w:rPr>
        <w:t xml:space="preserve">тыс. руб. меньше утвержденных бюджетных назначений или </w:t>
      </w:r>
      <w:r w:rsidR="00B1085D" w:rsidRPr="00B1085D">
        <w:rPr>
          <w:rFonts w:ascii="Times New Roman" w:eastAsia="Times New Roman" w:hAnsi="Times New Roman" w:cs="Times New Roman"/>
          <w:sz w:val="28"/>
          <w:szCs w:val="28"/>
          <w:lang w:eastAsia="ru-RU"/>
        </w:rPr>
        <w:t>82,7</w:t>
      </w:r>
      <w:r w:rsidR="00666AA5" w:rsidRPr="00B1085D">
        <w:rPr>
          <w:rFonts w:ascii="Times New Roman" w:hAnsi="Times New Roman" w:cs="Times New Roman"/>
          <w:sz w:val="28"/>
          <w:szCs w:val="28"/>
        </w:rPr>
        <w:t xml:space="preserve"> % исполнения. </w:t>
      </w:r>
      <w:r w:rsidR="000A5132">
        <w:rPr>
          <w:rFonts w:ascii="Times New Roman" w:hAnsi="Times New Roman" w:cs="Times New Roman"/>
          <w:sz w:val="28"/>
          <w:szCs w:val="28"/>
        </w:rPr>
        <w:t>Недофинансирование по подразделу «Культура и искусство» составило – 3 293,3 тыс. руб., «Телевидение» - 161,6 тыс. руб., «Другие вопросы в области культуры» - 372,3 тыс. руб.</w:t>
      </w:r>
    </w:p>
    <w:p w:rsidR="00666AA5" w:rsidRPr="00766D9F" w:rsidRDefault="00666AA5" w:rsidP="00B77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9F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766D9F">
        <w:rPr>
          <w:rFonts w:ascii="Times New Roman" w:hAnsi="Times New Roman" w:cs="Times New Roman"/>
          <w:sz w:val="28"/>
          <w:szCs w:val="28"/>
        </w:rPr>
        <w:t xml:space="preserve">1000 </w:t>
      </w:r>
      <w:r w:rsidRPr="00766D9F">
        <w:rPr>
          <w:rFonts w:ascii="Times New Roman" w:hAnsi="Times New Roman" w:cs="Times New Roman"/>
          <w:sz w:val="28"/>
          <w:szCs w:val="28"/>
        </w:rPr>
        <w:t>«Физическая кул</w:t>
      </w:r>
      <w:r w:rsidR="002E0933" w:rsidRPr="00766D9F">
        <w:rPr>
          <w:rFonts w:ascii="Times New Roman" w:hAnsi="Times New Roman" w:cs="Times New Roman"/>
          <w:sz w:val="28"/>
          <w:szCs w:val="28"/>
        </w:rPr>
        <w:t xml:space="preserve">ьтура и спорт» при утвержденном </w:t>
      </w:r>
      <w:r w:rsidRPr="00766D9F">
        <w:rPr>
          <w:rFonts w:ascii="Times New Roman" w:hAnsi="Times New Roman" w:cs="Times New Roman"/>
          <w:sz w:val="28"/>
          <w:szCs w:val="28"/>
        </w:rPr>
        <w:t xml:space="preserve">показателе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>10 471,7</w:t>
      </w:r>
      <w:r w:rsidRPr="00766D9F">
        <w:rPr>
          <w:rFonts w:ascii="Times New Roman" w:hAnsi="Times New Roman" w:cs="Times New Roman"/>
          <w:sz w:val="28"/>
          <w:szCs w:val="28"/>
        </w:rPr>
        <w:t xml:space="preserve">тыс. руб. расходы составили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>9 667,8</w:t>
      </w:r>
      <w:r w:rsidR="007D60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9F">
        <w:rPr>
          <w:rFonts w:ascii="Times New Roman" w:hAnsi="Times New Roman" w:cs="Times New Roman"/>
          <w:sz w:val="28"/>
          <w:szCs w:val="28"/>
        </w:rPr>
        <w:t>тыс. руб., что</w:t>
      </w:r>
      <w:r w:rsidR="009C3D95">
        <w:rPr>
          <w:rFonts w:ascii="Times New Roman" w:hAnsi="Times New Roman" w:cs="Times New Roman"/>
          <w:sz w:val="28"/>
          <w:szCs w:val="28"/>
        </w:rPr>
        <w:t xml:space="preserve"> на</w:t>
      </w:r>
      <w:r w:rsidRPr="00766D9F">
        <w:rPr>
          <w:rFonts w:ascii="Times New Roman" w:hAnsi="Times New Roman" w:cs="Times New Roman"/>
          <w:sz w:val="28"/>
          <w:szCs w:val="28"/>
        </w:rPr>
        <w:t xml:space="preserve">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>803,9</w:t>
      </w:r>
      <w:r w:rsidR="007D60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9F">
        <w:rPr>
          <w:rFonts w:ascii="Times New Roman" w:hAnsi="Times New Roman" w:cs="Times New Roman"/>
          <w:sz w:val="28"/>
          <w:szCs w:val="28"/>
        </w:rPr>
        <w:lastRenderedPageBreak/>
        <w:t xml:space="preserve">тыс. руб. меньше утверждённых бюджетных назначений или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92,3 </w:t>
      </w:r>
      <w:r w:rsidRPr="00766D9F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517A65">
        <w:rPr>
          <w:rFonts w:ascii="Times New Roman" w:hAnsi="Times New Roman" w:cs="Times New Roman"/>
          <w:sz w:val="28"/>
          <w:szCs w:val="28"/>
        </w:rPr>
        <w:t>Недофинансирование по подразделу «</w:t>
      </w:r>
      <w:r w:rsidR="000A5132">
        <w:rPr>
          <w:rFonts w:ascii="Times New Roman" w:hAnsi="Times New Roman" w:cs="Times New Roman"/>
          <w:sz w:val="28"/>
          <w:szCs w:val="28"/>
        </w:rPr>
        <w:t>Физкультура и спорт» - 522,1 тыс. руб., «другие расходы в области культуры» - 281,8 тыс. руб.</w:t>
      </w:r>
    </w:p>
    <w:p w:rsidR="00666AA5" w:rsidRPr="00766D9F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9F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A57466" w:rsidRPr="00766D9F">
        <w:rPr>
          <w:rFonts w:ascii="Times New Roman" w:hAnsi="Times New Roman" w:cs="Times New Roman"/>
          <w:sz w:val="28"/>
          <w:szCs w:val="28"/>
        </w:rPr>
        <w:t xml:space="preserve">1100 </w:t>
      </w:r>
      <w:r w:rsidRPr="00766D9F">
        <w:rPr>
          <w:rFonts w:ascii="Times New Roman" w:hAnsi="Times New Roman" w:cs="Times New Roman"/>
          <w:sz w:val="28"/>
          <w:szCs w:val="28"/>
        </w:rPr>
        <w:t xml:space="preserve">«Социальная политика» составили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>1 492,3</w:t>
      </w:r>
      <w:r w:rsidR="00A5085B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9F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AC1B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>97,0</w:t>
      </w:r>
      <w:r w:rsidR="007D60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9F">
        <w:rPr>
          <w:rFonts w:ascii="Times New Roman" w:hAnsi="Times New Roman" w:cs="Times New Roman"/>
          <w:sz w:val="28"/>
          <w:szCs w:val="28"/>
        </w:rPr>
        <w:t xml:space="preserve">% исполнения. </w:t>
      </w:r>
    </w:p>
    <w:p w:rsidR="00DB2A2C" w:rsidRPr="004140B5" w:rsidRDefault="0005020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Резервный фонд 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DB2A2C" w:rsidRPr="004140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агрского</w:t>
      </w:r>
      <w:proofErr w:type="spellEnd"/>
      <w:r w:rsidR="00DB2A2C" w:rsidRPr="004140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</w:t>
      </w:r>
    </w:p>
    <w:p w:rsidR="00E45283" w:rsidRPr="00730AC2" w:rsidRDefault="0083797B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>По дополнительному устному запросу администра</w:t>
      </w:r>
      <w:r w:rsidR="00AA3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цией </w:t>
      </w:r>
      <w:proofErr w:type="spellStart"/>
      <w:r w:rsidR="00AA39F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было пред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>став</w:t>
      </w:r>
      <w:r w:rsidR="00050205">
        <w:rPr>
          <w:rFonts w:ascii="Times New Roman" w:hAnsi="Times New Roman" w:cs="Times New Roman"/>
          <w:color w:val="000000" w:themeColor="text1"/>
          <w:sz w:val="28"/>
          <w:szCs w:val="28"/>
        </w:rPr>
        <w:t>лено положение о резервном фонде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05020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>агрского</w:t>
      </w:r>
      <w:proofErr w:type="spellEnd"/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утвержденн</w:t>
      </w:r>
      <w:r w:rsidR="00B72F36">
        <w:rPr>
          <w:rFonts w:ascii="Times New Roman" w:hAnsi="Times New Roman" w:cs="Times New Roman"/>
          <w:color w:val="000000" w:themeColor="text1"/>
          <w:sz w:val="28"/>
          <w:szCs w:val="28"/>
        </w:rPr>
        <w:t>ое Г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лавой </w:t>
      </w:r>
      <w:r w:rsidR="00B72F3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proofErr w:type="spellStart"/>
      <w:r w:rsidR="00B72F3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>агрского</w:t>
      </w:r>
      <w:proofErr w:type="spellEnd"/>
      <w:r w:rsidRPr="0083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04. 01 </w:t>
      </w:r>
      <w:r w:rsidR="00EF1CB5">
        <w:rPr>
          <w:rFonts w:ascii="Times New Roman" w:hAnsi="Times New Roman" w:cs="Times New Roman"/>
          <w:sz w:val="28"/>
          <w:szCs w:val="28"/>
        </w:rPr>
        <w:t>2017 год</w:t>
      </w:r>
      <w:r w:rsidR="00E45283">
        <w:rPr>
          <w:rFonts w:ascii="Times New Roman" w:hAnsi="Times New Roman" w:cs="Times New Roman"/>
          <w:sz w:val="28"/>
          <w:szCs w:val="28"/>
        </w:rPr>
        <w:t>. При прогнозном значении 7 633,0 тыс. руб. фактические расходы составили 7 478,5 тыс. руб., исполнение составило 98,0</w:t>
      </w:r>
      <w:r w:rsidR="00B72F36">
        <w:rPr>
          <w:rFonts w:ascii="Times New Roman" w:hAnsi="Times New Roman" w:cs="Times New Roman"/>
          <w:sz w:val="28"/>
          <w:szCs w:val="28"/>
        </w:rPr>
        <w:t xml:space="preserve"> </w:t>
      </w:r>
      <w:r w:rsidR="00E45283" w:rsidRPr="00730AC2">
        <w:rPr>
          <w:rFonts w:ascii="Times New Roman" w:hAnsi="Times New Roman" w:cs="Times New Roman"/>
          <w:sz w:val="28"/>
          <w:szCs w:val="28"/>
        </w:rPr>
        <w:t xml:space="preserve">%. </w:t>
      </w:r>
      <w:r w:rsidR="00B72F36" w:rsidRPr="00730AC2">
        <w:rPr>
          <w:rFonts w:ascii="Times New Roman" w:hAnsi="Times New Roman" w:cs="Times New Roman"/>
          <w:sz w:val="28"/>
          <w:szCs w:val="28"/>
        </w:rPr>
        <w:t>Расходы резервного фонда были направлены на</w:t>
      </w:r>
      <w:r w:rsidR="00E45283" w:rsidRPr="00730AC2">
        <w:rPr>
          <w:rFonts w:ascii="Times New Roman" w:hAnsi="Times New Roman" w:cs="Times New Roman"/>
          <w:sz w:val="28"/>
          <w:szCs w:val="28"/>
        </w:rPr>
        <w:t xml:space="preserve"> выделение средств</w:t>
      </w:r>
      <w:r w:rsidR="00847856" w:rsidRPr="00730AC2">
        <w:rPr>
          <w:rFonts w:ascii="Times New Roman" w:hAnsi="Times New Roman" w:cs="Times New Roman"/>
          <w:sz w:val="28"/>
          <w:szCs w:val="28"/>
        </w:rPr>
        <w:t xml:space="preserve"> на оказание</w:t>
      </w:r>
      <w:r w:rsidR="00254E84" w:rsidRPr="00730AC2">
        <w:rPr>
          <w:rFonts w:ascii="Times New Roman" w:hAnsi="Times New Roman" w:cs="Times New Roman"/>
          <w:sz w:val="28"/>
          <w:szCs w:val="28"/>
        </w:rPr>
        <w:t xml:space="preserve"> финансовой</w:t>
      </w:r>
      <w:r w:rsidR="00847856" w:rsidRPr="00730AC2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4C41E3" w:rsidRPr="00730AC2">
        <w:rPr>
          <w:rFonts w:ascii="Times New Roman" w:hAnsi="Times New Roman" w:cs="Times New Roman"/>
          <w:sz w:val="28"/>
          <w:szCs w:val="28"/>
        </w:rPr>
        <w:t xml:space="preserve"> общественным организациям</w:t>
      </w:r>
      <w:r w:rsidR="003A282B">
        <w:rPr>
          <w:rFonts w:ascii="Times New Roman" w:hAnsi="Times New Roman" w:cs="Times New Roman"/>
          <w:sz w:val="28"/>
          <w:szCs w:val="28"/>
        </w:rPr>
        <w:t xml:space="preserve">, таким как </w:t>
      </w:r>
      <w:r w:rsidR="002A4118">
        <w:rPr>
          <w:rFonts w:ascii="Times New Roman" w:hAnsi="Times New Roman" w:cs="Times New Roman"/>
          <w:sz w:val="28"/>
          <w:szCs w:val="28"/>
        </w:rPr>
        <w:t>М</w:t>
      </w:r>
      <w:r w:rsidR="00526C50">
        <w:rPr>
          <w:rFonts w:ascii="Times New Roman" w:hAnsi="Times New Roman" w:cs="Times New Roman"/>
          <w:sz w:val="28"/>
          <w:szCs w:val="28"/>
        </w:rPr>
        <w:t>УП «Ритуальные услуги» (уставный каптал для деятельности)</w:t>
      </w:r>
      <w:r w:rsidR="002A4118">
        <w:rPr>
          <w:rFonts w:ascii="Times New Roman" w:hAnsi="Times New Roman" w:cs="Times New Roman"/>
          <w:sz w:val="28"/>
          <w:szCs w:val="28"/>
        </w:rPr>
        <w:t xml:space="preserve"> – 180,0 тыс. руб.</w:t>
      </w:r>
      <w:r w:rsidR="00526C50">
        <w:rPr>
          <w:rFonts w:ascii="Times New Roman" w:hAnsi="Times New Roman" w:cs="Times New Roman"/>
          <w:sz w:val="28"/>
          <w:szCs w:val="28"/>
        </w:rPr>
        <w:t>, ансамбль «</w:t>
      </w:r>
      <w:proofErr w:type="spellStart"/>
      <w:r w:rsidR="00526C50">
        <w:rPr>
          <w:rFonts w:ascii="Times New Roman" w:hAnsi="Times New Roman" w:cs="Times New Roman"/>
          <w:sz w:val="28"/>
          <w:szCs w:val="28"/>
        </w:rPr>
        <w:t>Афыртын</w:t>
      </w:r>
      <w:proofErr w:type="spellEnd"/>
      <w:r w:rsidR="00526C50">
        <w:rPr>
          <w:rFonts w:ascii="Times New Roman" w:hAnsi="Times New Roman" w:cs="Times New Roman"/>
          <w:sz w:val="28"/>
          <w:szCs w:val="28"/>
        </w:rPr>
        <w:t>»</w:t>
      </w:r>
      <w:r w:rsidR="002A4118">
        <w:rPr>
          <w:rFonts w:ascii="Times New Roman" w:hAnsi="Times New Roman" w:cs="Times New Roman"/>
          <w:sz w:val="28"/>
          <w:szCs w:val="28"/>
        </w:rPr>
        <w:t xml:space="preserve"> - </w:t>
      </w:r>
      <w:r w:rsidR="00EE797F">
        <w:rPr>
          <w:rFonts w:ascii="Times New Roman" w:hAnsi="Times New Roman" w:cs="Times New Roman"/>
          <w:sz w:val="28"/>
          <w:szCs w:val="28"/>
        </w:rPr>
        <w:t xml:space="preserve">500,0 тыс. </w:t>
      </w:r>
      <w:proofErr w:type="spellStart"/>
      <w:r w:rsidR="00EE797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26C50">
        <w:rPr>
          <w:rFonts w:ascii="Times New Roman" w:hAnsi="Times New Roman" w:cs="Times New Roman"/>
          <w:sz w:val="28"/>
          <w:szCs w:val="28"/>
        </w:rPr>
        <w:t>, ансамбль «</w:t>
      </w:r>
      <w:proofErr w:type="spellStart"/>
      <w:r w:rsidR="00526C50">
        <w:rPr>
          <w:rFonts w:ascii="Times New Roman" w:hAnsi="Times New Roman" w:cs="Times New Roman"/>
          <w:sz w:val="28"/>
          <w:szCs w:val="28"/>
        </w:rPr>
        <w:t>Киараз</w:t>
      </w:r>
      <w:proofErr w:type="spellEnd"/>
      <w:r w:rsidR="00526C50">
        <w:rPr>
          <w:rFonts w:ascii="Times New Roman" w:hAnsi="Times New Roman" w:cs="Times New Roman"/>
          <w:sz w:val="28"/>
          <w:szCs w:val="28"/>
        </w:rPr>
        <w:t>»</w:t>
      </w:r>
      <w:r w:rsidR="00EE797F">
        <w:rPr>
          <w:rFonts w:ascii="Times New Roman" w:hAnsi="Times New Roman" w:cs="Times New Roman"/>
          <w:sz w:val="28"/>
          <w:szCs w:val="28"/>
        </w:rPr>
        <w:t xml:space="preserve"> - 282,0 тыс. </w:t>
      </w:r>
      <w:proofErr w:type="spellStart"/>
      <w:r w:rsidR="00EE797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C41E3" w:rsidRPr="00730AC2">
        <w:rPr>
          <w:rFonts w:ascii="Times New Roman" w:hAnsi="Times New Roman" w:cs="Times New Roman"/>
          <w:sz w:val="28"/>
          <w:szCs w:val="28"/>
        </w:rPr>
        <w:t xml:space="preserve">, </w:t>
      </w:r>
      <w:r w:rsidR="00847856" w:rsidRPr="00730AC2">
        <w:rPr>
          <w:rFonts w:ascii="Times New Roman" w:hAnsi="Times New Roman" w:cs="Times New Roman"/>
          <w:sz w:val="28"/>
          <w:szCs w:val="28"/>
        </w:rPr>
        <w:t xml:space="preserve">что противоречит </w:t>
      </w:r>
      <w:r w:rsidR="00AA39F7" w:rsidRPr="00730AC2">
        <w:rPr>
          <w:rFonts w:ascii="Times New Roman" w:hAnsi="Times New Roman" w:cs="Times New Roman"/>
          <w:sz w:val="28"/>
          <w:szCs w:val="28"/>
        </w:rPr>
        <w:t xml:space="preserve">требованиям ч.4 ст.42 </w:t>
      </w:r>
      <w:r w:rsidR="00847856" w:rsidRPr="00730AC2">
        <w:rPr>
          <w:rFonts w:ascii="Times New Roman" w:hAnsi="Times New Roman" w:cs="Times New Roman"/>
          <w:sz w:val="28"/>
          <w:szCs w:val="28"/>
        </w:rPr>
        <w:t>Закон</w:t>
      </w:r>
      <w:r w:rsidR="00AA39F7" w:rsidRPr="00730AC2">
        <w:rPr>
          <w:rFonts w:ascii="Times New Roman" w:hAnsi="Times New Roman" w:cs="Times New Roman"/>
          <w:sz w:val="28"/>
          <w:szCs w:val="28"/>
        </w:rPr>
        <w:t>а</w:t>
      </w:r>
      <w:r w:rsidR="00847856" w:rsidRPr="00730AC2">
        <w:rPr>
          <w:rFonts w:ascii="Times New Roman" w:hAnsi="Times New Roman" w:cs="Times New Roman"/>
          <w:sz w:val="28"/>
          <w:szCs w:val="28"/>
        </w:rPr>
        <w:t xml:space="preserve"> «О</w:t>
      </w:r>
      <w:r w:rsidR="003468B6" w:rsidRPr="00730AC2">
        <w:rPr>
          <w:rFonts w:ascii="Times New Roman" w:hAnsi="Times New Roman" w:cs="Times New Roman"/>
          <w:sz w:val="28"/>
          <w:szCs w:val="28"/>
        </w:rPr>
        <w:t>б основах бюджетного устройства и</w:t>
      </w:r>
      <w:r w:rsidR="00847856" w:rsidRPr="00730AC2">
        <w:rPr>
          <w:rFonts w:ascii="Times New Roman" w:hAnsi="Times New Roman" w:cs="Times New Roman"/>
          <w:sz w:val="28"/>
          <w:szCs w:val="28"/>
        </w:rPr>
        <w:t xml:space="preserve"> бюджетного процесса в Республике Абхазия».</w:t>
      </w:r>
      <w:r w:rsidR="00F705BB" w:rsidRPr="00730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EB5" w:rsidRPr="00291E98" w:rsidRDefault="00DA5EB5" w:rsidP="00DA5E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E98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DA5EB5" w:rsidRPr="00227B4F" w:rsidRDefault="00291E98" w:rsidP="00227B4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B4F">
        <w:rPr>
          <w:rFonts w:ascii="Times New Roman" w:hAnsi="Times New Roman" w:cs="Times New Roman"/>
          <w:sz w:val="28"/>
          <w:szCs w:val="28"/>
        </w:rPr>
        <w:t xml:space="preserve">Доходы </w:t>
      </w:r>
      <w:proofErr w:type="spellStart"/>
      <w:r w:rsidRPr="00227B4F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227B4F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4C41E3">
        <w:rPr>
          <w:rFonts w:ascii="Times New Roman" w:hAnsi="Times New Roman" w:cs="Times New Roman"/>
          <w:sz w:val="28"/>
          <w:szCs w:val="28"/>
        </w:rPr>
        <w:t>а 2017 год</w:t>
      </w:r>
      <w:r w:rsidR="00DA5EB5" w:rsidRPr="00227B4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227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352 529,2</w:t>
      </w:r>
      <w:r w:rsidR="00DA5EB5" w:rsidRPr="00227B4F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Pr="00227B4F">
        <w:rPr>
          <w:rFonts w:ascii="Times New Roman" w:eastAsia="Times New Roman" w:hAnsi="Times New Roman" w:cs="Times New Roman"/>
          <w:sz w:val="28"/>
          <w:szCs w:val="28"/>
          <w:lang w:eastAsia="ru-RU"/>
        </w:rPr>
        <w:t>121 419,6</w:t>
      </w:r>
      <w:r w:rsidR="00DA5EB5" w:rsidRPr="00227B4F">
        <w:rPr>
          <w:rFonts w:ascii="Times New Roman" w:hAnsi="Times New Roman" w:cs="Times New Roman"/>
          <w:sz w:val="28"/>
          <w:szCs w:val="28"/>
        </w:rPr>
        <w:t xml:space="preserve"> меньше прогнозируемой суммы. Из общей суммы доходов собственные доходы составили </w:t>
      </w:r>
      <w:r w:rsidRPr="00227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307 296,1</w:t>
      </w:r>
      <w:r w:rsidR="00DA5EB5" w:rsidRPr="00227B4F">
        <w:rPr>
          <w:rFonts w:ascii="Times New Roman" w:hAnsi="Times New Roman" w:cs="Times New Roman"/>
          <w:sz w:val="28"/>
          <w:szCs w:val="28"/>
        </w:rPr>
        <w:t xml:space="preserve"> тыс. руб., дотация из Республиканского бюджета - </w:t>
      </w:r>
      <w:r w:rsidRPr="00227B4F">
        <w:rPr>
          <w:rFonts w:ascii="Times New Roman" w:eastAsia="Times New Roman" w:hAnsi="Times New Roman" w:cs="Times New Roman"/>
          <w:sz w:val="28"/>
          <w:szCs w:val="28"/>
          <w:lang w:eastAsia="ru-RU"/>
        </w:rPr>
        <w:t>45 233,1</w:t>
      </w:r>
      <w:r w:rsidR="00DA5EB5" w:rsidRPr="00227B4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A5EB5" w:rsidRPr="00291E98" w:rsidRDefault="00DA5EB5" w:rsidP="00DA5E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E98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 w:rsidRPr="00291E98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291E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91E98" w:rsidRPr="00291E98">
        <w:rPr>
          <w:rFonts w:ascii="Times New Roman" w:hAnsi="Times New Roman" w:cs="Times New Roman"/>
          <w:sz w:val="28"/>
          <w:szCs w:val="28"/>
        </w:rPr>
        <w:t xml:space="preserve">на </w:t>
      </w:r>
      <w:r w:rsidR="000B4897">
        <w:rPr>
          <w:rFonts w:ascii="Times New Roman" w:hAnsi="Times New Roman" w:cs="Times New Roman"/>
          <w:sz w:val="28"/>
          <w:szCs w:val="28"/>
        </w:rPr>
        <w:t>2017 год</w:t>
      </w:r>
      <w:r w:rsidRPr="00291E98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291E98" w:rsidRPr="00291E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389 102,6</w:t>
      </w:r>
      <w:r w:rsidRPr="00291E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1E98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291E98" w:rsidRPr="00291E98">
        <w:rPr>
          <w:rFonts w:ascii="Times New Roman" w:eastAsia="Times New Roman" w:hAnsi="Times New Roman" w:cs="Times New Roman"/>
          <w:sz w:val="28"/>
          <w:szCs w:val="28"/>
          <w:lang w:eastAsia="ru-RU"/>
        </w:rPr>
        <w:t>85 746,2</w:t>
      </w:r>
      <w:r w:rsidRPr="00291E98"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назначений.   </w:t>
      </w:r>
    </w:p>
    <w:p w:rsidR="004B4231" w:rsidRDefault="00DA5EB5" w:rsidP="004B42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E98">
        <w:rPr>
          <w:rFonts w:ascii="Times New Roman" w:hAnsi="Times New Roman" w:cs="Times New Roman"/>
          <w:sz w:val="28"/>
          <w:szCs w:val="28"/>
        </w:rPr>
        <w:t>2.</w:t>
      </w:r>
      <w:r w:rsidR="00227B4F">
        <w:rPr>
          <w:rFonts w:ascii="Times New Roman" w:hAnsi="Times New Roman" w:cs="Times New Roman"/>
          <w:sz w:val="28"/>
          <w:szCs w:val="28"/>
        </w:rPr>
        <w:t xml:space="preserve"> </w:t>
      </w:r>
      <w:r w:rsidRPr="00291E98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района </w:t>
      </w:r>
      <w:proofErr w:type="spellStart"/>
      <w:r w:rsidRPr="00291E98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291E98">
        <w:rPr>
          <w:rFonts w:ascii="Times New Roman" w:hAnsi="Times New Roman" w:cs="Times New Roman"/>
          <w:sz w:val="28"/>
          <w:szCs w:val="28"/>
        </w:rPr>
        <w:t xml:space="preserve"> запланированных собственных доходов в сумме </w:t>
      </w:r>
      <w:r w:rsidR="00291E98" w:rsidRPr="00291E98">
        <w:rPr>
          <w:rFonts w:ascii="Times New Roman" w:eastAsia="Times New Roman" w:hAnsi="Times New Roman" w:cs="Times New Roman"/>
          <w:sz w:val="28"/>
          <w:szCs w:val="28"/>
          <w:lang w:eastAsia="ru-RU"/>
        </w:rPr>
        <w:t>121 419,6</w:t>
      </w:r>
      <w:r w:rsidRPr="00291E98">
        <w:rPr>
          <w:rFonts w:ascii="Times New Roman" w:hAnsi="Times New Roman" w:cs="Times New Roman"/>
          <w:sz w:val="28"/>
          <w:szCs w:val="28"/>
        </w:rPr>
        <w:t xml:space="preserve"> тыс. руб., в связи с тем, что по всем налоговым видам доходов не были исполнены прогнозные показатели за </w:t>
      </w:r>
      <w:r w:rsidRPr="00415E5B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Pr="00415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 по подакцизным товар</w:t>
      </w:r>
      <w:r w:rsidR="00415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производимым на территории Р</w:t>
      </w:r>
      <w:r w:rsidRPr="0041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Абхазия</w:t>
      </w:r>
      <w:r w:rsidR="00415E5B" w:rsidRPr="00415E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5E5B" w:rsidRPr="00415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налогу на имущество предприятий, </w:t>
      </w:r>
      <w:r w:rsidR="00415E5B" w:rsidRPr="00415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доходов от использования имущества, находящегося в государственной собственности</w:t>
      </w:r>
      <w:r w:rsidRPr="00415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376" w:rsidRDefault="004B4231" w:rsidP="003319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4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7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земельного налога 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рассматриваемый период составило </w:t>
      </w:r>
      <w:r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33 906,0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9 325,5 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меньше прогнозируемой суммы или </w:t>
      </w:r>
      <w:r w:rsidRPr="00260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78,4 </w:t>
      </w:r>
      <w:r w:rsidRPr="00260BC0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191E" w:rsidRPr="00730AC2" w:rsidRDefault="0033191E" w:rsidP="003319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общего плана доходов по налогу на землю свидетельствует о недостаточном использовании потенциала администрирования налоговыми орган</w:t>
      </w:r>
      <w:r w:rsidR="00710376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(ИМНС по </w:t>
      </w:r>
      <w:proofErr w:type="spellStart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Гагрскому</w:t>
      </w:r>
      <w:proofErr w:type="spellEnd"/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району).</w:t>
      </w:r>
    </w:p>
    <w:p w:rsidR="00227B4F" w:rsidRPr="00730AC2" w:rsidRDefault="00227B4F" w:rsidP="00227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730AC2">
        <w:rPr>
          <w:rFonts w:ascii="Times New Roman" w:hAnsi="Times New Roman" w:cs="Times New Roman"/>
          <w:sz w:val="28"/>
          <w:szCs w:val="28"/>
        </w:rPr>
        <w:t>Расходы резервного фонда были направлены на выделение средств на оказание по</w:t>
      </w:r>
      <w:r w:rsidR="00610B1E" w:rsidRPr="00730AC2">
        <w:rPr>
          <w:rFonts w:ascii="Times New Roman" w:hAnsi="Times New Roman" w:cs="Times New Roman"/>
          <w:sz w:val="28"/>
          <w:szCs w:val="28"/>
        </w:rPr>
        <w:t>мощи общественным организациям</w:t>
      </w:r>
      <w:r w:rsidRPr="00730AC2">
        <w:rPr>
          <w:rFonts w:ascii="Times New Roman" w:hAnsi="Times New Roman" w:cs="Times New Roman"/>
          <w:sz w:val="28"/>
          <w:szCs w:val="28"/>
        </w:rPr>
        <w:t xml:space="preserve">, что противоречит требованиям ч.4 ст.42 Закона «Об основах бюджетного устройства и бюджетного процесса в Республике Абхазия». </w:t>
      </w:r>
    </w:p>
    <w:p w:rsidR="00227B4F" w:rsidRPr="00730AC2" w:rsidRDefault="00227B4F" w:rsidP="003319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231" w:rsidRPr="00730AC2" w:rsidRDefault="004B4231" w:rsidP="004B42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5EB5" w:rsidRPr="00B20D57" w:rsidRDefault="00DA5EB5" w:rsidP="00D558AD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5EB5" w:rsidRPr="00EB39D3" w:rsidRDefault="00DA5EB5" w:rsidP="00DA5E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EB5" w:rsidRDefault="00DA5EB5" w:rsidP="00DA5E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A5EB5" w:rsidRDefault="00DA5EB5" w:rsidP="00DA5E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92ED1" w:rsidRDefault="00B92ED1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F90" w:rsidRPr="00B92ED1" w:rsidRDefault="00A61F90" w:rsidP="00E45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Pr="00F32744" w:rsidRDefault="00197F31" w:rsidP="00197F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31" w:rsidRPr="00237093" w:rsidRDefault="00197F31" w:rsidP="00197F31">
      <w:pPr>
        <w:pBdr>
          <w:top w:val="single" w:sz="4" w:space="1" w:color="auto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Исполнитель: вед</w:t>
      </w:r>
      <w:proofErr w:type="gramStart"/>
      <w:r w:rsidRPr="00F6225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455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2258">
        <w:rPr>
          <w:rFonts w:ascii="Times New Roman" w:eastAsia="Calibri" w:hAnsi="Times New Roman" w:cs="Times New Roman"/>
          <w:bCs/>
          <w:sz w:val="24"/>
          <w:szCs w:val="24"/>
        </w:rPr>
        <w:t>инспектор</w:t>
      </w:r>
      <w:proofErr w:type="gramEnd"/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литического отдела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Начкебия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Р.М. </w:t>
      </w: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197F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0F" w:rsidRDefault="00DC210F" w:rsidP="0029035A">
      <w:pPr>
        <w:spacing w:after="0" w:line="240" w:lineRule="auto"/>
      </w:pPr>
      <w:r>
        <w:separator/>
      </w:r>
    </w:p>
  </w:endnote>
  <w:endnote w:type="continuationSeparator" w:id="0">
    <w:p w:rsidR="00DC210F" w:rsidRDefault="00DC210F" w:rsidP="002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23115"/>
      <w:docPartObj>
        <w:docPartGallery w:val="Page Numbers (Bottom of Page)"/>
        <w:docPartUnique/>
      </w:docPartObj>
    </w:sdtPr>
    <w:sdtEndPr/>
    <w:sdtContent>
      <w:p w:rsidR="00DB2A2C" w:rsidRDefault="00DB2A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7D6">
          <w:rPr>
            <w:noProof/>
          </w:rPr>
          <w:t>1</w:t>
        </w:r>
        <w:r>
          <w:fldChar w:fldCharType="end"/>
        </w:r>
      </w:p>
    </w:sdtContent>
  </w:sdt>
  <w:p w:rsidR="00DB2A2C" w:rsidRDefault="00DB2A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0F" w:rsidRDefault="00DC210F" w:rsidP="0029035A">
      <w:pPr>
        <w:spacing w:after="0" w:line="240" w:lineRule="auto"/>
      </w:pPr>
      <w:r>
        <w:separator/>
      </w:r>
    </w:p>
  </w:footnote>
  <w:footnote w:type="continuationSeparator" w:id="0">
    <w:p w:rsidR="00DC210F" w:rsidRDefault="00DC210F" w:rsidP="0029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3868"/>
    <w:multiLevelType w:val="hybridMultilevel"/>
    <w:tmpl w:val="F7C85CAC"/>
    <w:lvl w:ilvl="0" w:tplc="EC2C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A14C8D"/>
    <w:multiLevelType w:val="hybridMultilevel"/>
    <w:tmpl w:val="0E7AAFFE"/>
    <w:lvl w:ilvl="0" w:tplc="8484664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5548F"/>
    <w:multiLevelType w:val="hybridMultilevel"/>
    <w:tmpl w:val="A17243CE"/>
    <w:lvl w:ilvl="0" w:tplc="0E0EA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2"/>
    <w:rsid w:val="00005B8F"/>
    <w:rsid w:val="0002051A"/>
    <w:rsid w:val="00020607"/>
    <w:rsid w:val="00026380"/>
    <w:rsid w:val="00032079"/>
    <w:rsid w:val="000333E3"/>
    <w:rsid w:val="00037EAE"/>
    <w:rsid w:val="00042C85"/>
    <w:rsid w:val="00043789"/>
    <w:rsid w:val="00046DE0"/>
    <w:rsid w:val="00050205"/>
    <w:rsid w:val="00067514"/>
    <w:rsid w:val="000709CF"/>
    <w:rsid w:val="00085410"/>
    <w:rsid w:val="000966E6"/>
    <w:rsid w:val="000A5132"/>
    <w:rsid w:val="000B4897"/>
    <w:rsid w:val="000B66C7"/>
    <w:rsid w:val="000D1FCE"/>
    <w:rsid w:val="000D5985"/>
    <w:rsid w:val="000E0DAE"/>
    <w:rsid w:val="000F067E"/>
    <w:rsid w:val="000F7EE1"/>
    <w:rsid w:val="0010410B"/>
    <w:rsid w:val="0013628D"/>
    <w:rsid w:val="0016408E"/>
    <w:rsid w:val="00164C2D"/>
    <w:rsid w:val="00172E0A"/>
    <w:rsid w:val="0017661F"/>
    <w:rsid w:val="00177D25"/>
    <w:rsid w:val="00197F31"/>
    <w:rsid w:val="001B2298"/>
    <w:rsid w:val="001B5F3D"/>
    <w:rsid w:val="001B779D"/>
    <w:rsid w:val="001D16BF"/>
    <w:rsid w:val="001D1B53"/>
    <w:rsid w:val="001D2539"/>
    <w:rsid w:val="001D7984"/>
    <w:rsid w:val="001E5B8F"/>
    <w:rsid w:val="001E62A3"/>
    <w:rsid w:val="001E727A"/>
    <w:rsid w:val="001F5DEC"/>
    <w:rsid w:val="00200BDD"/>
    <w:rsid w:val="002071EA"/>
    <w:rsid w:val="00223C1B"/>
    <w:rsid w:val="00227B4F"/>
    <w:rsid w:val="00233841"/>
    <w:rsid w:val="00244750"/>
    <w:rsid w:val="00254E84"/>
    <w:rsid w:val="00257F9C"/>
    <w:rsid w:val="00260BC0"/>
    <w:rsid w:val="0028745F"/>
    <w:rsid w:val="0029035A"/>
    <w:rsid w:val="00291E98"/>
    <w:rsid w:val="0029687A"/>
    <w:rsid w:val="002A4118"/>
    <w:rsid w:val="002B36C2"/>
    <w:rsid w:val="002B399A"/>
    <w:rsid w:val="002B5AB1"/>
    <w:rsid w:val="002B6D52"/>
    <w:rsid w:val="002C28D3"/>
    <w:rsid w:val="002C3B53"/>
    <w:rsid w:val="002C6898"/>
    <w:rsid w:val="002C7514"/>
    <w:rsid w:val="002E0933"/>
    <w:rsid w:val="002F32A6"/>
    <w:rsid w:val="003040D3"/>
    <w:rsid w:val="00304D01"/>
    <w:rsid w:val="00304FC5"/>
    <w:rsid w:val="003124C0"/>
    <w:rsid w:val="00315632"/>
    <w:rsid w:val="0033191E"/>
    <w:rsid w:val="0033444A"/>
    <w:rsid w:val="0034500A"/>
    <w:rsid w:val="00345056"/>
    <w:rsid w:val="003468B6"/>
    <w:rsid w:val="00357049"/>
    <w:rsid w:val="003825D0"/>
    <w:rsid w:val="00386B1D"/>
    <w:rsid w:val="00386BE4"/>
    <w:rsid w:val="00387857"/>
    <w:rsid w:val="00393778"/>
    <w:rsid w:val="003A1A74"/>
    <w:rsid w:val="003A282B"/>
    <w:rsid w:val="003A6158"/>
    <w:rsid w:val="003E1C18"/>
    <w:rsid w:val="003E66EF"/>
    <w:rsid w:val="004140B5"/>
    <w:rsid w:val="00415E5B"/>
    <w:rsid w:val="004220F2"/>
    <w:rsid w:val="00426896"/>
    <w:rsid w:val="004274AB"/>
    <w:rsid w:val="004378D1"/>
    <w:rsid w:val="00437B40"/>
    <w:rsid w:val="00440542"/>
    <w:rsid w:val="00441E05"/>
    <w:rsid w:val="00453C3D"/>
    <w:rsid w:val="00453D03"/>
    <w:rsid w:val="00456978"/>
    <w:rsid w:val="00463A78"/>
    <w:rsid w:val="004661E4"/>
    <w:rsid w:val="00470719"/>
    <w:rsid w:val="00487CCE"/>
    <w:rsid w:val="00491C34"/>
    <w:rsid w:val="004A348A"/>
    <w:rsid w:val="004A7D08"/>
    <w:rsid w:val="004B0B4C"/>
    <w:rsid w:val="004B4231"/>
    <w:rsid w:val="004C41E3"/>
    <w:rsid w:val="004C64A8"/>
    <w:rsid w:val="004E055C"/>
    <w:rsid w:val="005019DD"/>
    <w:rsid w:val="00501C2E"/>
    <w:rsid w:val="005023F9"/>
    <w:rsid w:val="00503DE9"/>
    <w:rsid w:val="00506384"/>
    <w:rsid w:val="00517A65"/>
    <w:rsid w:val="005269C8"/>
    <w:rsid w:val="00526C50"/>
    <w:rsid w:val="005328CD"/>
    <w:rsid w:val="0053394D"/>
    <w:rsid w:val="00537F3C"/>
    <w:rsid w:val="005418DB"/>
    <w:rsid w:val="005475B1"/>
    <w:rsid w:val="00560F9C"/>
    <w:rsid w:val="005610E5"/>
    <w:rsid w:val="00571178"/>
    <w:rsid w:val="005F2D7B"/>
    <w:rsid w:val="00600EBB"/>
    <w:rsid w:val="00603B6A"/>
    <w:rsid w:val="00610B1E"/>
    <w:rsid w:val="006127D6"/>
    <w:rsid w:val="00647775"/>
    <w:rsid w:val="006515F7"/>
    <w:rsid w:val="00666AA5"/>
    <w:rsid w:val="00670A97"/>
    <w:rsid w:val="00673B07"/>
    <w:rsid w:val="006826A5"/>
    <w:rsid w:val="006A25DA"/>
    <w:rsid w:val="006A6D88"/>
    <w:rsid w:val="006B1F29"/>
    <w:rsid w:val="006C6077"/>
    <w:rsid w:val="006F0429"/>
    <w:rsid w:val="006F3659"/>
    <w:rsid w:val="00701A64"/>
    <w:rsid w:val="00703192"/>
    <w:rsid w:val="00705752"/>
    <w:rsid w:val="00710376"/>
    <w:rsid w:val="00712245"/>
    <w:rsid w:val="00724A34"/>
    <w:rsid w:val="00730AC2"/>
    <w:rsid w:val="00736653"/>
    <w:rsid w:val="00743CA7"/>
    <w:rsid w:val="007462F6"/>
    <w:rsid w:val="00766D9F"/>
    <w:rsid w:val="007802F3"/>
    <w:rsid w:val="007A4877"/>
    <w:rsid w:val="007A48E2"/>
    <w:rsid w:val="007B0F9D"/>
    <w:rsid w:val="007C1221"/>
    <w:rsid w:val="007C1F66"/>
    <w:rsid w:val="007D3C24"/>
    <w:rsid w:val="007D60E9"/>
    <w:rsid w:val="007D6877"/>
    <w:rsid w:val="00813D51"/>
    <w:rsid w:val="008143AB"/>
    <w:rsid w:val="00823291"/>
    <w:rsid w:val="00824DBB"/>
    <w:rsid w:val="0083797B"/>
    <w:rsid w:val="008400DF"/>
    <w:rsid w:val="008443D5"/>
    <w:rsid w:val="00844AA2"/>
    <w:rsid w:val="00847856"/>
    <w:rsid w:val="00856BA0"/>
    <w:rsid w:val="008B261D"/>
    <w:rsid w:val="008F2390"/>
    <w:rsid w:val="00901721"/>
    <w:rsid w:val="00912D2E"/>
    <w:rsid w:val="00932D71"/>
    <w:rsid w:val="00934A7A"/>
    <w:rsid w:val="00934F3E"/>
    <w:rsid w:val="00947753"/>
    <w:rsid w:val="00951609"/>
    <w:rsid w:val="00956468"/>
    <w:rsid w:val="00977D5F"/>
    <w:rsid w:val="009808AF"/>
    <w:rsid w:val="00980B76"/>
    <w:rsid w:val="00981FBA"/>
    <w:rsid w:val="00987702"/>
    <w:rsid w:val="009C3D95"/>
    <w:rsid w:val="009C5A4D"/>
    <w:rsid w:val="009D0526"/>
    <w:rsid w:val="009D3536"/>
    <w:rsid w:val="00A07E1F"/>
    <w:rsid w:val="00A13DF6"/>
    <w:rsid w:val="00A1785C"/>
    <w:rsid w:val="00A21112"/>
    <w:rsid w:val="00A261D8"/>
    <w:rsid w:val="00A270AA"/>
    <w:rsid w:val="00A27AFF"/>
    <w:rsid w:val="00A5085B"/>
    <w:rsid w:val="00A57466"/>
    <w:rsid w:val="00A57831"/>
    <w:rsid w:val="00A60496"/>
    <w:rsid w:val="00A61F90"/>
    <w:rsid w:val="00A7613C"/>
    <w:rsid w:val="00A93428"/>
    <w:rsid w:val="00AA39F7"/>
    <w:rsid w:val="00AC1BE9"/>
    <w:rsid w:val="00AD27B6"/>
    <w:rsid w:val="00AD5F3E"/>
    <w:rsid w:val="00AF0665"/>
    <w:rsid w:val="00B1085D"/>
    <w:rsid w:val="00B23B44"/>
    <w:rsid w:val="00B63348"/>
    <w:rsid w:val="00B72F36"/>
    <w:rsid w:val="00B731CD"/>
    <w:rsid w:val="00B77D44"/>
    <w:rsid w:val="00B92ED1"/>
    <w:rsid w:val="00B94F60"/>
    <w:rsid w:val="00BA3D84"/>
    <w:rsid w:val="00BF15BC"/>
    <w:rsid w:val="00BF35DB"/>
    <w:rsid w:val="00BF6196"/>
    <w:rsid w:val="00BF6DE1"/>
    <w:rsid w:val="00C0250F"/>
    <w:rsid w:val="00C0284D"/>
    <w:rsid w:val="00C12FB0"/>
    <w:rsid w:val="00C13219"/>
    <w:rsid w:val="00C2188D"/>
    <w:rsid w:val="00C40D25"/>
    <w:rsid w:val="00C516DD"/>
    <w:rsid w:val="00C54567"/>
    <w:rsid w:val="00C61DE4"/>
    <w:rsid w:val="00C70A2D"/>
    <w:rsid w:val="00C7283A"/>
    <w:rsid w:val="00C735E9"/>
    <w:rsid w:val="00C7448C"/>
    <w:rsid w:val="00C758E4"/>
    <w:rsid w:val="00C77388"/>
    <w:rsid w:val="00C81172"/>
    <w:rsid w:val="00CA0FF3"/>
    <w:rsid w:val="00CA2284"/>
    <w:rsid w:val="00CA62D1"/>
    <w:rsid w:val="00CA6560"/>
    <w:rsid w:val="00CB1CCD"/>
    <w:rsid w:val="00CB2914"/>
    <w:rsid w:val="00CB36FE"/>
    <w:rsid w:val="00CC518E"/>
    <w:rsid w:val="00CD52A8"/>
    <w:rsid w:val="00CD615F"/>
    <w:rsid w:val="00CE1539"/>
    <w:rsid w:val="00CF27A0"/>
    <w:rsid w:val="00CF3FC4"/>
    <w:rsid w:val="00CF5203"/>
    <w:rsid w:val="00D25AFA"/>
    <w:rsid w:val="00D33006"/>
    <w:rsid w:val="00D35F0A"/>
    <w:rsid w:val="00D558AD"/>
    <w:rsid w:val="00D61D13"/>
    <w:rsid w:val="00D63AC3"/>
    <w:rsid w:val="00D77548"/>
    <w:rsid w:val="00D91631"/>
    <w:rsid w:val="00DA5EB5"/>
    <w:rsid w:val="00DB179A"/>
    <w:rsid w:val="00DB2A2C"/>
    <w:rsid w:val="00DC210F"/>
    <w:rsid w:val="00DC6391"/>
    <w:rsid w:val="00DD3774"/>
    <w:rsid w:val="00DD3A0D"/>
    <w:rsid w:val="00DE382E"/>
    <w:rsid w:val="00DE7002"/>
    <w:rsid w:val="00E2504A"/>
    <w:rsid w:val="00E45283"/>
    <w:rsid w:val="00E453A6"/>
    <w:rsid w:val="00E455CA"/>
    <w:rsid w:val="00E81878"/>
    <w:rsid w:val="00EA0522"/>
    <w:rsid w:val="00EB39D3"/>
    <w:rsid w:val="00EC24CC"/>
    <w:rsid w:val="00EC40F4"/>
    <w:rsid w:val="00EC48DD"/>
    <w:rsid w:val="00ED3DF4"/>
    <w:rsid w:val="00EE785C"/>
    <w:rsid w:val="00EE797F"/>
    <w:rsid w:val="00EF1CB5"/>
    <w:rsid w:val="00F00E05"/>
    <w:rsid w:val="00F06FA2"/>
    <w:rsid w:val="00F3511C"/>
    <w:rsid w:val="00F42B2B"/>
    <w:rsid w:val="00F47F43"/>
    <w:rsid w:val="00F550AF"/>
    <w:rsid w:val="00F6013C"/>
    <w:rsid w:val="00F705BB"/>
    <w:rsid w:val="00F87099"/>
    <w:rsid w:val="00F9209E"/>
    <w:rsid w:val="00F9329D"/>
    <w:rsid w:val="00F93AB2"/>
    <w:rsid w:val="00FB6975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EA90-C476-4578-8560-4C1D8B2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35A"/>
  </w:style>
  <w:style w:type="paragraph" w:styleId="a4">
    <w:name w:val="header"/>
    <w:basedOn w:val="a"/>
    <w:link w:val="a5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35A"/>
  </w:style>
  <w:style w:type="paragraph" w:styleId="a6">
    <w:name w:val="footer"/>
    <w:basedOn w:val="a"/>
    <w:link w:val="a7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35A"/>
  </w:style>
  <w:style w:type="paragraph" w:styleId="a8">
    <w:name w:val="List Paragraph"/>
    <w:basedOn w:val="a"/>
    <w:uiPriority w:val="34"/>
    <w:qFormat/>
    <w:rsid w:val="00A60496"/>
    <w:pPr>
      <w:spacing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EDB8-6FB8-4E7B-A13A-946946A3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2018-04-03T09:03:00Z</cp:lastPrinted>
  <dcterms:created xsi:type="dcterms:W3CDTF">2018-03-05T14:36:00Z</dcterms:created>
  <dcterms:modified xsi:type="dcterms:W3CDTF">2018-04-04T06:02:00Z</dcterms:modified>
</cp:coreProperties>
</file>