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Утверждено решением </w:t>
      </w:r>
    </w:p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Коллегии Контрольной палаты </w:t>
      </w:r>
    </w:p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Абхазия,</w:t>
      </w:r>
    </w:p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оформленным</w:t>
      </w:r>
      <w:proofErr w:type="gramEnd"/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протоколом </w:t>
      </w:r>
    </w:p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заседания</w:t>
      </w:r>
      <w:proofErr w:type="gramEnd"/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Коллегии</w:t>
      </w:r>
    </w:p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proofErr w:type="gramEnd"/>
      <w:r w:rsidRPr="001768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15 августа 2016 г. №11</w:t>
      </w:r>
    </w:p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68CC" w:rsidRPr="001768CC" w:rsidRDefault="001768CC" w:rsidP="001768CC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68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 на отчет об исполнении</w:t>
      </w:r>
      <w:r w:rsidRPr="00176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бюджета </w:t>
      </w:r>
    </w:p>
    <w:p w:rsidR="00D163A9" w:rsidRDefault="00E7232F" w:rsidP="00D74266">
      <w:pPr>
        <w:tabs>
          <w:tab w:val="left" w:pos="5954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E7232F">
        <w:rPr>
          <w:rFonts w:ascii="Times New Roman" w:hAnsi="Times New Roman" w:cs="Times New Roman"/>
          <w:b/>
          <w:sz w:val="28"/>
          <w:szCs w:val="28"/>
        </w:rPr>
        <w:t>Ткуарчалского</w:t>
      </w:r>
      <w:proofErr w:type="spellEnd"/>
      <w:r w:rsidRPr="00E723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448">
        <w:rPr>
          <w:rFonts w:ascii="Times New Roman" w:hAnsi="Times New Roman" w:cs="Times New Roman"/>
          <w:b/>
          <w:sz w:val="28"/>
          <w:szCs w:val="28"/>
        </w:rPr>
        <w:t>района за</w:t>
      </w:r>
      <w:r w:rsidR="003F5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4266">
        <w:rPr>
          <w:rFonts w:ascii="Times New Roman" w:hAnsi="Times New Roman" w:cs="Times New Roman"/>
          <w:b/>
          <w:sz w:val="28"/>
          <w:szCs w:val="28"/>
        </w:rPr>
        <w:t>2015 год</w:t>
      </w:r>
    </w:p>
    <w:p w:rsidR="009A3E44" w:rsidRPr="0094100B" w:rsidRDefault="009A3E44" w:rsidP="007B279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проверка отчета</w:t>
      </w:r>
      <w:r w:rsidRPr="00294E38">
        <w:rPr>
          <w:rFonts w:ascii="Times New Roman" w:hAnsi="Times New Roman" w:cs="Times New Roman"/>
          <w:sz w:val="28"/>
          <w:szCs w:val="28"/>
        </w:rPr>
        <w:t xml:space="preserve"> </w:t>
      </w:r>
      <w:r w:rsidR="00813707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 w:rsidR="00813707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5468C2">
        <w:rPr>
          <w:rFonts w:ascii="Times New Roman" w:hAnsi="Times New Roman" w:cs="Times New Roman"/>
          <w:sz w:val="28"/>
          <w:szCs w:val="28"/>
        </w:rPr>
        <w:t xml:space="preserve"> района за</w:t>
      </w:r>
      <w:r>
        <w:rPr>
          <w:rFonts w:ascii="Times New Roman" w:hAnsi="Times New Roman" w:cs="Times New Roman"/>
          <w:sz w:val="28"/>
          <w:szCs w:val="28"/>
        </w:rPr>
        <w:t xml:space="preserve"> 2015 года </w:t>
      </w:r>
      <w:r w:rsidR="005D546D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294E38">
        <w:rPr>
          <w:rFonts w:ascii="Times New Roman" w:hAnsi="Times New Roman" w:cs="Times New Roman"/>
          <w:sz w:val="28"/>
          <w:szCs w:val="28"/>
        </w:rPr>
        <w:t>проведена на основании предста</w:t>
      </w:r>
      <w:r w:rsidR="002F04D0">
        <w:rPr>
          <w:rFonts w:ascii="Times New Roman" w:hAnsi="Times New Roman" w:cs="Times New Roman"/>
          <w:sz w:val="28"/>
          <w:szCs w:val="28"/>
        </w:rPr>
        <w:t>вленной</w:t>
      </w:r>
      <w:r w:rsidR="00C51FAC">
        <w:rPr>
          <w:rFonts w:ascii="Times New Roman" w:hAnsi="Times New Roman" w:cs="Times New Roman"/>
          <w:sz w:val="28"/>
          <w:szCs w:val="28"/>
        </w:rPr>
        <w:t xml:space="preserve"> А</w:t>
      </w:r>
      <w:r w:rsidR="00813707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proofErr w:type="spellStart"/>
      <w:r w:rsidR="00813707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Pr="00294E38">
        <w:rPr>
          <w:rFonts w:ascii="Times New Roman" w:hAnsi="Times New Roman" w:cs="Times New Roman"/>
          <w:sz w:val="28"/>
          <w:szCs w:val="28"/>
        </w:rPr>
        <w:t xml:space="preserve"> района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34B">
        <w:rPr>
          <w:rFonts w:ascii="Times New Roman" w:hAnsi="Times New Roman" w:cs="Times New Roman"/>
          <w:sz w:val="28"/>
          <w:szCs w:val="28"/>
        </w:rPr>
        <w:t>и прилагаемых к ней</w:t>
      </w:r>
      <w:r w:rsidR="005D546D">
        <w:rPr>
          <w:rFonts w:ascii="Times New Roman" w:hAnsi="Times New Roman" w:cs="Times New Roman"/>
          <w:sz w:val="28"/>
          <w:szCs w:val="28"/>
        </w:rPr>
        <w:t xml:space="preserve"> документов. Проверка проведена на</w:t>
      </w:r>
      <w:r w:rsidRPr="00294E38">
        <w:rPr>
          <w:rFonts w:ascii="Times New Roman" w:hAnsi="Times New Roman" w:cs="Times New Roman"/>
          <w:sz w:val="28"/>
          <w:szCs w:val="28"/>
        </w:rPr>
        <w:t xml:space="preserve"> предмет аналитической оценки исполнения бюджета за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Pr="00294E38">
        <w:rPr>
          <w:rFonts w:ascii="Times New Roman" w:hAnsi="Times New Roman" w:cs="Times New Roman"/>
          <w:sz w:val="28"/>
          <w:szCs w:val="28"/>
        </w:rPr>
        <w:t xml:space="preserve"> год, достоверности, полноты отражения отчетных данных и соблюдения бюджетного законодательства при с</w:t>
      </w:r>
      <w:r w:rsidR="0094100B">
        <w:rPr>
          <w:rFonts w:ascii="Times New Roman" w:hAnsi="Times New Roman" w:cs="Times New Roman"/>
          <w:sz w:val="28"/>
          <w:szCs w:val="28"/>
        </w:rPr>
        <w:t>оставлении бюджетной отчетности.</w:t>
      </w:r>
    </w:p>
    <w:p w:rsidR="00B11637" w:rsidRDefault="008D3708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представленному отчету о</w:t>
      </w:r>
      <w:r w:rsidR="00233CBD">
        <w:rPr>
          <w:rFonts w:ascii="Times New Roman" w:hAnsi="Times New Roman" w:cs="Times New Roman"/>
          <w:sz w:val="28"/>
          <w:szCs w:val="28"/>
        </w:rPr>
        <w:t>бщий</w:t>
      </w:r>
      <w:r w:rsidR="00C45554">
        <w:rPr>
          <w:rFonts w:ascii="Times New Roman" w:hAnsi="Times New Roman" w:cs="Times New Roman"/>
          <w:sz w:val="28"/>
          <w:szCs w:val="28"/>
        </w:rPr>
        <w:t xml:space="preserve"> объем доходов</w:t>
      </w:r>
      <w:r w:rsidR="004136BC">
        <w:rPr>
          <w:rFonts w:ascii="Times New Roman" w:hAnsi="Times New Roman" w:cs="Times New Roman"/>
          <w:sz w:val="28"/>
          <w:szCs w:val="28"/>
        </w:rPr>
        <w:t xml:space="preserve"> бюджета района </w:t>
      </w:r>
      <w:r w:rsidR="005D546D">
        <w:rPr>
          <w:rFonts w:ascii="Times New Roman" w:hAnsi="Times New Roman" w:cs="Times New Roman"/>
          <w:sz w:val="28"/>
          <w:szCs w:val="28"/>
        </w:rPr>
        <w:t xml:space="preserve">за рассматриваемый </w:t>
      </w:r>
      <w:r w:rsidR="00C51FAC">
        <w:rPr>
          <w:rFonts w:ascii="Times New Roman" w:hAnsi="Times New Roman" w:cs="Times New Roman"/>
          <w:sz w:val="28"/>
          <w:szCs w:val="28"/>
        </w:rPr>
        <w:t xml:space="preserve">период был </w:t>
      </w:r>
      <w:r w:rsidR="00381C71">
        <w:rPr>
          <w:rFonts w:ascii="Times New Roman" w:hAnsi="Times New Roman" w:cs="Times New Roman"/>
          <w:sz w:val="28"/>
          <w:szCs w:val="28"/>
        </w:rPr>
        <w:t>спрогнозирован в</w:t>
      </w:r>
      <w:r w:rsidR="00CB666C">
        <w:rPr>
          <w:rFonts w:ascii="Times New Roman" w:hAnsi="Times New Roman" w:cs="Times New Roman"/>
          <w:sz w:val="28"/>
          <w:szCs w:val="28"/>
        </w:rPr>
        <w:t xml:space="preserve"> </w:t>
      </w:r>
      <w:r w:rsidR="005468C2">
        <w:rPr>
          <w:rFonts w:ascii="Times New Roman" w:hAnsi="Times New Roman" w:cs="Times New Roman"/>
          <w:sz w:val="28"/>
          <w:szCs w:val="28"/>
        </w:rPr>
        <w:t>сумме 132 157,2</w:t>
      </w:r>
      <w:r w:rsidR="00C4555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CA2DEF">
        <w:rPr>
          <w:rFonts w:ascii="Times New Roman" w:hAnsi="Times New Roman" w:cs="Times New Roman"/>
          <w:sz w:val="28"/>
          <w:szCs w:val="28"/>
        </w:rPr>
        <w:t xml:space="preserve"> фактическое поступление составило</w:t>
      </w:r>
      <w:r w:rsidR="005468C2">
        <w:rPr>
          <w:rFonts w:ascii="Times New Roman" w:hAnsi="Times New Roman" w:cs="Times New Roman"/>
          <w:sz w:val="28"/>
          <w:szCs w:val="28"/>
        </w:rPr>
        <w:t xml:space="preserve"> 126 210,1</w:t>
      </w:r>
      <w:r w:rsidR="00EB3A75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468C2">
        <w:rPr>
          <w:rFonts w:ascii="Times New Roman" w:hAnsi="Times New Roman" w:cs="Times New Roman"/>
          <w:sz w:val="28"/>
          <w:szCs w:val="28"/>
        </w:rPr>
        <w:t>, что на 5 947,1</w:t>
      </w:r>
      <w:r w:rsidR="00F51544">
        <w:rPr>
          <w:rFonts w:ascii="Times New Roman" w:hAnsi="Times New Roman" w:cs="Times New Roman"/>
          <w:sz w:val="28"/>
          <w:szCs w:val="28"/>
        </w:rPr>
        <w:t xml:space="preserve"> тыс. руб. меньше</w:t>
      </w:r>
      <w:r w:rsidR="00381C71">
        <w:rPr>
          <w:rFonts w:ascii="Times New Roman" w:hAnsi="Times New Roman" w:cs="Times New Roman"/>
          <w:sz w:val="28"/>
          <w:szCs w:val="28"/>
        </w:rPr>
        <w:t xml:space="preserve"> прогнозируемой</w:t>
      </w:r>
      <w:r w:rsidR="00EB3A75">
        <w:rPr>
          <w:rFonts w:ascii="Times New Roman" w:hAnsi="Times New Roman" w:cs="Times New Roman"/>
          <w:sz w:val="28"/>
          <w:szCs w:val="28"/>
        </w:rPr>
        <w:t xml:space="preserve"> суммы. Из общей суммы доходов бюджета</w:t>
      </w:r>
      <w:r w:rsidR="001B38B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EB3A75">
        <w:rPr>
          <w:rFonts w:ascii="Times New Roman" w:hAnsi="Times New Roman" w:cs="Times New Roman"/>
          <w:sz w:val="28"/>
          <w:szCs w:val="28"/>
        </w:rPr>
        <w:t xml:space="preserve"> собств</w:t>
      </w:r>
      <w:r w:rsidR="00F51544">
        <w:rPr>
          <w:rFonts w:ascii="Times New Roman" w:hAnsi="Times New Roman" w:cs="Times New Roman"/>
          <w:sz w:val="28"/>
          <w:szCs w:val="28"/>
        </w:rPr>
        <w:t>енные доходы составили</w:t>
      </w:r>
      <w:r w:rsidR="00043A14">
        <w:rPr>
          <w:rFonts w:ascii="Times New Roman" w:hAnsi="Times New Roman" w:cs="Times New Roman"/>
          <w:sz w:val="28"/>
          <w:szCs w:val="28"/>
        </w:rPr>
        <w:t xml:space="preserve"> </w:t>
      </w:r>
      <w:r w:rsidR="00043A14" w:rsidRPr="00043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46 515,6</w:t>
      </w:r>
      <w:r w:rsidR="00F51544">
        <w:rPr>
          <w:rFonts w:ascii="Times New Roman" w:hAnsi="Times New Roman" w:cs="Times New Roman"/>
          <w:sz w:val="28"/>
          <w:szCs w:val="28"/>
        </w:rPr>
        <w:t xml:space="preserve"> </w:t>
      </w:r>
      <w:r w:rsidR="00EF3CA7">
        <w:rPr>
          <w:rFonts w:ascii="Times New Roman" w:hAnsi="Times New Roman" w:cs="Times New Roman"/>
          <w:sz w:val="28"/>
          <w:szCs w:val="28"/>
        </w:rPr>
        <w:t>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EB3A75">
        <w:rPr>
          <w:rFonts w:ascii="Times New Roman" w:hAnsi="Times New Roman" w:cs="Times New Roman"/>
          <w:sz w:val="28"/>
          <w:szCs w:val="28"/>
        </w:rPr>
        <w:t xml:space="preserve"> в сравнении с планируемыми поступ</w:t>
      </w:r>
      <w:r w:rsidR="00F51544">
        <w:rPr>
          <w:rFonts w:ascii="Times New Roman" w:hAnsi="Times New Roman" w:cs="Times New Roman"/>
          <w:sz w:val="28"/>
          <w:szCs w:val="28"/>
        </w:rPr>
        <w:t>лениями</w:t>
      </w:r>
      <w:r w:rsidR="00290703">
        <w:rPr>
          <w:rFonts w:ascii="Times New Roman" w:hAnsi="Times New Roman" w:cs="Times New Roman"/>
          <w:sz w:val="28"/>
          <w:szCs w:val="28"/>
        </w:rPr>
        <w:t xml:space="preserve"> доходы</w:t>
      </w:r>
      <w:r w:rsidR="00043A14">
        <w:rPr>
          <w:rFonts w:ascii="Times New Roman" w:hAnsi="Times New Roman" w:cs="Times New Roman"/>
          <w:sz w:val="28"/>
          <w:szCs w:val="28"/>
        </w:rPr>
        <w:t xml:space="preserve"> перевыполнены на</w:t>
      </w:r>
      <w:r w:rsidR="00F51544">
        <w:rPr>
          <w:rFonts w:ascii="Calibri" w:hAnsi="Calibri" w:cs="Calibri"/>
          <w:b/>
          <w:bCs/>
          <w:color w:val="000000"/>
        </w:rPr>
        <w:t xml:space="preserve"> </w:t>
      </w:r>
      <w:r w:rsidR="00043A14" w:rsidRPr="00043A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6 358,4</w:t>
      </w:r>
      <w:r w:rsidR="00043A14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</w:t>
      </w:r>
      <w:r w:rsidR="001B38BB">
        <w:rPr>
          <w:rFonts w:ascii="Times New Roman" w:hAnsi="Times New Roman" w:cs="Times New Roman"/>
          <w:sz w:val="28"/>
          <w:szCs w:val="28"/>
        </w:rPr>
        <w:t>тыс. руб., вместе с тем имело место</w:t>
      </w:r>
      <w:r w:rsidR="00EB3A75">
        <w:rPr>
          <w:rFonts w:ascii="Times New Roman" w:hAnsi="Times New Roman" w:cs="Times New Roman"/>
          <w:sz w:val="28"/>
          <w:szCs w:val="28"/>
        </w:rPr>
        <w:t xml:space="preserve"> </w:t>
      </w:r>
      <w:r w:rsidR="00EC2193">
        <w:rPr>
          <w:rFonts w:ascii="Times New Roman" w:hAnsi="Times New Roman" w:cs="Times New Roman"/>
          <w:sz w:val="28"/>
          <w:szCs w:val="28"/>
        </w:rPr>
        <w:t>не исполнение прогнозного показателя</w:t>
      </w:r>
      <w:r w:rsidR="001B38BB">
        <w:rPr>
          <w:rFonts w:ascii="Times New Roman" w:hAnsi="Times New Roman" w:cs="Times New Roman"/>
          <w:sz w:val="28"/>
          <w:szCs w:val="28"/>
        </w:rPr>
        <w:t xml:space="preserve"> по налогу на прибыль на </w:t>
      </w:r>
      <w:r w:rsidR="00043A14">
        <w:rPr>
          <w:rFonts w:ascii="Times New Roman" w:hAnsi="Times New Roman" w:cs="Times New Roman"/>
          <w:sz w:val="28"/>
          <w:szCs w:val="28"/>
        </w:rPr>
        <w:t xml:space="preserve">2 248,2 тыс. руб. или 28,0 </w:t>
      </w:r>
      <w:r w:rsidR="00A624BF" w:rsidRPr="001B38BB">
        <w:rPr>
          <w:rFonts w:ascii="Times New Roman" w:hAnsi="Times New Roman" w:cs="Times New Roman"/>
          <w:sz w:val="28"/>
          <w:szCs w:val="28"/>
        </w:rPr>
        <w:t>%</w:t>
      </w:r>
      <w:r w:rsidR="00A624BF">
        <w:rPr>
          <w:rFonts w:ascii="Times New Roman" w:hAnsi="Times New Roman" w:cs="Times New Roman"/>
          <w:sz w:val="28"/>
          <w:szCs w:val="28"/>
        </w:rPr>
        <w:t xml:space="preserve">; </w:t>
      </w:r>
      <w:r w:rsidR="00A624BF" w:rsidRPr="001B38BB">
        <w:rPr>
          <w:rFonts w:ascii="Times New Roman" w:hAnsi="Times New Roman" w:cs="Times New Roman"/>
          <w:sz w:val="28"/>
          <w:szCs w:val="28"/>
        </w:rPr>
        <w:t>и</w:t>
      </w:r>
      <w:r w:rsidR="001B38BB">
        <w:rPr>
          <w:rFonts w:ascii="Times New Roman" w:hAnsi="Times New Roman" w:cs="Times New Roman"/>
          <w:sz w:val="28"/>
          <w:szCs w:val="28"/>
        </w:rPr>
        <w:t xml:space="preserve"> налогу н</w:t>
      </w:r>
      <w:r w:rsidR="00043A14">
        <w:rPr>
          <w:rFonts w:ascii="Times New Roman" w:hAnsi="Times New Roman" w:cs="Times New Roman"/>
          <w:sz w:val="28"/>
          <w:szCs w:val="28"/>
        </w:rPr>
        <w:t>а добавленную стоимость на 769,2</w:t>
      </w:r>
      <w:r w:rsidR="00413BB5">
        <w:rPr>
          <w:rFonts w:ascii="Times New Roman" w:hAnsi="Times New Roman" w:cs="Times New Roman"/>
          <w:sz w:val="28"/>
          <w:szCs w:val="28"/>
        </w:rPr>
        <w:t xml:space="preserve"> </w:t>
      </w:r>
      <w:r w:rsidR="00043A14">
        <w:rPr>
          <w:rFonts w:ascii="Times New Roman" w:hAnsi="Times New Roman" w:cs="Times New Roman"/>
          <w:sz w:val="28"/>
          <w:szCs w:val="28"/>
        </w:rPr>
        <w:t xml:space="preserve">тыс. руб. или 72,0 </w:t>
      </w:r>
      <w:r w:rsidR="001B38BB">
        <w:rPr>
          <w:rFonts w:ascii="Times New Roman" w:hAnsi="Times New Roman" w:cs="Times New Roman"/>
          <w:sz w:val="28"/>
          <w:szCs w:val="28"/>
        </w:rPr>
        <w:t xml:space="preserve">%. </w:t>
      </w:r>
      <w:r w:rsidR="00A624BF">
        <w:rPr>
          <w:rFonts w:ascii="Times New Roman" w:hAnsi="Times New Roman" w:cs="Times New Roman"/>
          <w:sz w:val="28"/>
          <w:szCs w:val="28"/>
        </w:rPr>
        <w:t>Перевыполнение плановых показателей по доходом наблюдается по платежам за пользование недрами и природными ресурсами на сумму 5 772,6 тыс. руб.</w:t>
      </w:r>
      <w:r w:rsidR="00413BB5">
        <w:rPr>
          <w:rFonts w:ascii="Times New Roman" w:hAnsi="Times New Roman" w:cs="Times New Roman"/>
          <w:sz w:val="28"/>
          <w:szCs w:val="28"/>
        </w:rPr>
        <w:t>, что связано с погашением задолженности в сумме 11 565,0 тыс. руб., имеет место также перевыполнение</w:t>
      </w:r>
      <w:r w:rsidR="00451813">
        <w:rPr>
          <w:rFonts w:ascii="Times New Roman" w:hAnsi="Times New Roman" w:cs="Times New Roman"/>
          <w:sz w:val="28"/>
          <w:szCs w:val="28"/>
        </w:rPr>
        <w:t xml:space="preserve"> прогнозного показателя</w:t>
      </w:r>
      <w:r w:rsidR="00DC62D1">
        <w:rPr>
          <w:rFonts w:ascii="Times New Roman" w:hAnsi="Times New Roman" w:cs="Times New Roman"/>
          <w:sz w:val="28"/>
          <w:szCs w:val="28"/>
        </w:rPr>
        <w:t xml:space="preserve"> по налогу на имущество в сумме 1 708,5 тыс. руб.</w:t>
      </w:r>
      <w:r w:rsidR="00E451ED">
        <w:rPr>
          <w:rFonts w:ascii="Times New Roman" w:hAnsi="Times New Roman" w:cs="Times New Roman"/>
          <w:sz w:val="28"/>
          <w:szCs w:val="28"/>
        </w:rPr>
        <w:t xml:space="preserve">, земельному налогу на 640,1 тыс. руб. и т.д. </w:t>
      </w:r>
      <w:r w:rsidR="00F67E2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E0F41" w:rsidRDefault="00B11637" w:rsidP="001B38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данным Министерство по налогам и сборам Республики Абхазия общая сумма задолженности по налогам и сборам на 01.01.2016 г.</w:t>
      </w:r>
      <w:r w:rsidR="00115737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115737">
        <w:rPr>
          <w:rFonts w:ascii="Times New Roman" w:hAnsi="Times New Roman" w:cs="Times New Roman"/>
          <w:sz w:val="28"/>
          <w:szCs w:val="28"/>
        </w:rPr>
        <w:t>Ткуарчалскому</w:t>
      </w:r>
      <w:proofErr w:type="spellEnd"/>
      <w:r w:rsidR="00115737">
        <w:rPr>
          <w:rFonts w:ascii="Times New Roman" w:hAnsi="Times New Roman" w:cs="Times New Roman"/>
          <w:sz w:val="28"/>
          <w:szCs w:val="28"/>
        </w:rPr>
        <w:t xml:space="preserve"> району составила 4 597,9 тыс. руб. Задолженность по НДС составила 2 337,3 тыс. руб.; земельному налогу – 1 065,2 тыс. руб.; налог</w:t>
      </w:r>
      <w:r w:rsidR="0051434B">
        <w:rPr>
          <w:rFonts w:ascii="Times New Roman" w:hAnsi="Times New Roman" w:cs="Times New Roman"/>
          <w:sz w:val="28"/>
          <w:szCs w:val="28"/>
        </w:rPr>
        <w:t>у</w:t>
      </w:r>
      <w:r w:rsidR="00115737">
        <w:rPr>
          <w:rFonts w:ascii="Times New Roman" w:hAnsi="Times New Roman" w:cs="Times New Roman"/>
          <w:sz w:val="28"/>
          <w:szCs w:val="28"/>
        </w:rPr>
        <w:t xml:space="preserve"> на прибыль – 987,1 тыс. руб.; налог</w:t>
      </w:r>
      <w:r w:rsidR="0051434B">
        <w:rPr>
          <w:rFonts w:ascii="Times New Roman" w:hAnsi="Times New Roman" w:cs="Times New Roman"/>
          <w:sz w:val="28"/>
          <w:szCs w:val="28"/>
        </w:rPr>
        <w:t>у</w:t>
      </w:r>
      <w:r w:rsidR="00115737">
        <w:rPr>
          <w:rFonts w:ascii="Times New Roman" w:hAnsi="Times New Roman" w:cs="Times New Roman"/>
          <w:sz w:val="28"/>
          <w:szCs w:val="28"/>
        </w:rPr>
        <w:t xml:space="preserve"> на имущество – 199,9 тыс. руб.; </w:t>
      </w:r>
      <w:proofErr w:type="spellStart"/>
      <w:r w:rsidR="00115737">
        <w:rPr>
          <w:rFonts w:ascii="Times New Roman" w:hAnsi="Times New Roman" w:cs="Times New Roman"/>
          <w:sz w:val="28"/>
          <w:szCs w:val="28"/>
        </w:rPr>
        <w:t>спецналог</w:t>
      </w:r>
      <w:r w:rsidR="0051434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51434B">
        <w:rPr>
          <w:rFonts w:ascii="Times New Roman" w:hAnsi="Times New Roman" w:cs="Times New Roman"/>
          <w:sz w:val="28"/>
          <w:szCs w:val="28"/>
        </w:rPr>
        <w:t xml:space="preserve"> – 4,9 тыс. руб.; подоходному</w:t>
      </w:r>
      <w:r w:rsidR="00115737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51434B">
        <w:rPr>
          <w:rFonts w:ascii="Times New Roman" w:hAnsi="Times New Roman" w:cs="Times New Roman"/>
          <w:sz w:val="28"/>
          <w:szCs w:val="28"/>
        </w:rPr>
        <w:t>у</w:t>
      </w:r>
      <w:r w:rsidR="00115737">
        <w:rPr>
          <w:rFonts w:ascii="Times New Roman" w:hAnsi="Times New Roman" w:cs="Times New Roman"/>
          <w:sz w:val="28"/>
          <w:szCs w:val="28"/>
        </w:rPr>
        <w:t xml:space="preserve"> – 3,5 тыс. руб.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E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EB3A75" w:rsidRDefault="005F1374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</w:t>
      </w:r>
      <w:r w:rsidR="006F09AD">
        <w:rPr>
          <w:rFonts w:ascii="Times New Roman" w:hAnsi="Times New Roman" w:cs="Times New Roman"/>
          <w:sz w:val="28"/>
          <w:szCs w:val="28"/>
        </w:rPr>
        <w:t>ыполнение общего прогноза</w:t>
      </w:r>
      <w:r w:rsidR="00422082">
        <w:rPr>
          <w:rFonts w:ascii="Times New Roman" w:hAnsi="Times New Roman" w:cs="Times New Roman"/>
          <w:sz w:val="28"/>
          <w:szCs w:val="28"/>
        </w:rPr>
        <w:t xml:space="preserve"> по дохода</w:t>
      </w:r>
      <w:r>
        <w:rPr>
          <w:rFonts w:ascii="Times New Roman" w:hAnsi="Times New Roman" w:cs="Times New Roman"/>
          <w:sz w:val="28"/>
          <w:szCs w:val="28"/>
        </w:rPr>
        <w:t>м связано с</w:t>
      </w:r>
      <w:r w:rsidR="002F04D0">
        <w:rPr>
          <w:rFonts w:ascii="Times New Roman" w:hAnsi="Times New Roman" w:cs="Times New Roman"/>
          <w:sz w:val="28"/>
          <w:szCs w:val="28"/>
        </w:rPr>
        <w:t xml:space="preserve"> неисполнением Министерством финансов Республики Абхазия бюджетных обязательств, утвержденных Республиканским бюджетом на 2015 год в виде межбюджетных трансфертов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BB5">
        <w:rPr>
          <w:rFonts w:ascii="Times New Roman" w:hAnsi="Times New Roman" w:cs="Times New Roman"/>
          <w:sz w:val="28"/>
          <w:szCs w:val="28"/>
        </w:rPr>
        <w:t>дотации</w:t>
      </w:r>
      <w:r w:rsidR="004D314D">
        <w:rPr>
          <w:rFonts w:ascii="Times New Roman" w:hAnsi="Times New Roman" w:cs="Times New Roman"/>
          <w:sz w:val="28"/>
          <w:szCs w:val="28"/>
        </w:rPr>
        <w:t>, так за рассматриваемый период д</w:t>
      </w:r>
      <w:r w:rsidR="00290703">
        <w:rPr>
          <w:rFonts w:ascii="Times New Roman" w:hAnsi="Times New Roman" w:cs="Times New Roman"/>
          <w:sz w:val="28"/>
          <w:szCs w:val="28"/>
        </w:rPr>
        <w:t>отация из Республиканского бюджета</w:t>
      </w:r>
      <w:r w:rsidR="00BD4BFC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E451ED">
        <w:rPr>
          <w:rFonts w:ascii="Times New Roman" w:hAnsi="Times New Roman" w:cs="Times New Roman"/>
          <w:sz w:val="28"/>
          <w:szCs w:val="28"/>
        </w:rPr>
        <w:t xml:space="preserve">79 694,5 </w:t>
      </w:r>
      <w:r w:rsidR="00290703">
        <w:rPr>
          <w:rFonts w:ascii="Times New Roman" w:hAnsi="Times New Roman" w:cs="Times New Roman"/>
          <w:sz w:val="28"/>
          <w:szCs w:val="28"/>
        </w:rPr>
        <w:t>тыс. руб.</w:t>
      </w:r>
      <w:r w:rsidR="006F09AD">
        <w:rPr>
          <w:rFonts w:ascii="Times New Roman" w:hAnsi="Times New Roman" w:cs="Times New Roman"/>
          <w:sz w:val="28"/>
          <w:szCs w:val="28"/>
        </w:rPr>
        <w:t xml:space="preserve"> при прогнозируемом показателе</w:t>
      </w:r>
      <w:r w:rsidR="00E451ED">
        <w:rPr>
          <w:rFonts w:ascii="Times New Roman" w:hAnsi="Times New Roman" w:cs="Times New Roman"/>
          <w:sz w:val="28"/>
          <w:szCs w:val="28"/>
        </w:rPr>
        <w:t xml:space="preserve"> 92 000,0 </w:t>
      </w:r>
      <w:r w:rsidR="00630381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4D314D">
        <w:rPr>
          <w:rFonts w:ascii="Times New Roman" w:hAnsi="Times New Roman" w:cs="Times New Roman"/>
          <w:sz w:val="28"/>
          <w:szCs w:val="28"/>
        </w:rPr>
        <w:t>Следует отметить, что доля дотации</w:t>
      </w:r>
      <w:r w:rsidR="00723D2D">
        <w:rPr>
          <w:rFonts w:ascii="Times New Roman" w:hAnsi="Times New Roman" w:cs="Times New Roman"/>
          <w:sz w:val="28"/>
          <w:szCs w:val="28"/>
        </w:rPr>
        <w:t xml:space="preserve"> в</w:t>
      </w:r>
      <w:r w:rsidR="004D314D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723D2D">
        <w:rPr>
          <w:rFonts w:ascii="Times New Roman" w:hAnsi="Times New Roman" w:cs="Times New Roman"/>
          <w:sz w:val="28"/>
          <w:szCs w:val="28"/>
        </w:rPr>
        <w:t xml:space="preserve"> структуре доходов бю</w:t>
      </w:r>
      <w:r w:rsidR="004D314D">
        <w:rPr>
          <w:rFonts w:ascii="Times New Roman" w:hAnsi="Times New Roman" w:cs="Times New Roman"/>
          <w:sz w:val="28"/>
          <w:szCs w:val="28"/>
        </w:rPr>
        <w:t>джета</w:t>
      </w:r>
      <w:r w:rsidR="008D37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D314D">
        <w:rPr>
          <w:rFonts w:ascii="Times New Roman" w:hAnsi="Times New Roman" w:cs="Times New Roman"/>
          <w:sz w:val="28"/>
          <w:szCs w:val="28"/>
        </w:rPr>
        <w:t xml:space="preserve"> </w:t>
      </w:r>
      <w:r w:rsidR="006F4E8F">
        <w:rPr>
          <w:rFonts w:ascii="Times New Roman" w:hAnsi="Times New Roman" w:cs="Times New Roman"/>
          <w:sz w:val="28"/>
          <w:szCs w:val="28"/>
        </w:rPr>
        <w:t>составляет</w:t>
      </w:r>
      <w:r w:rsidR="00723D2D">
        <w:rPr>
          <w:rFonts w:ascii="Times New Roman" w:hAnsi="Times New Roman" w:cs="Times New Roman"/>
          <w:sz w:val="28"/>
          <w:szCs w:val="28"/>
        </w:rPr>
        <w:t xml:space="preserve"> </w:t>
      </w:r>
      <w:r w:rsidR="00451813">
        <w:rPr>
          <w:rFonts w:ascii="Times New Roman" w:hAnsi="Times New Roman" w:cs="Times New Roman"/>
          <w:sz w:val="28"/>
          <w:szCs w:val="28"/>
        </w:rPr>
        <w:t xml:space="preserve">63,1 </w:t>
      </w:r>
      <w:r w:rsidR="002D5614">
        <w:rPr>
          <w:rFonts w:ascii="Times New Roman" w:hAnsi="Times New Roman" w:cs="Times New Roman"/>
          <w:sz w:val="28"/>
          <w:szCs w:val="28"/>
        </w:rPr>
        <w:t>%.</w:t>
      </w:r>
      <w:r w:rsidR="00B945FE">
        <w:rPr>
          <w:rFonts w:ascii="Times New Roman" w:hAnsi="Times New Roman" w:cs="Times New Roman"/>
          <w:sz w:val="28"/>
          <w:szCs w:val="28"/>
        </w:rPr>
        <w:t xml:space="preserve"> Доля собственных доходов составила 36,9%.  </w:t>
      </w:r>
    </w:p>
    <w:p w:rsidR="003375DA" w:rsidRDefault="003375DA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структуру собственных доходов</w:t>
      </w:r>
      <w:r w:rsidR="005B458B">
        <w:rPr>
          <w:rFonts w:ascii="Times New Roman" w:hAnsi="Times New Roman" w:cs="Times New Roman"/>
          <w:sz w:val="28"/>
          <w:szCs w:val="28"/>
        </w:rPr>
        <w:t xml:space="preserve"> бюджета района</w:t>
      </w:r>
      <w:r>
        <w:rPr>
          <w:rFonts w:ascii="Times New Roman" w:hAnsi="Times New Roman" w:cs="Times New Roman"/>
          <w:sz w:val="28"/>
          <w:szCs w:val="28"/>
        </w:rPr>
        <w:t xml:space="preserve"> можно отметить, что наибол</w:t>
      </w:r>
      <w:r w:rsidR="005B458B">
        <w:rPr>
          <w:rFonts w:ascii="Times New Roman" w:hAnsi="Times New Roman" w:cs="Times New Roman"/>
          <w:sz w:val="28"/>
          <w:szCs w:val="28"/>
        </w:rPr>
        <w:t xml:space="preserve">ьший удельный вес приходится на следующие виды </w:t>
      </w:r>
      <w:r w:rsidR="00E451ED">
        <w:rPr>
          <w:rFonts w:ascii="Times New Roman" w:hAnsi="Times New Roman" w:cs="Times New Roman"/>
          <w:sz w:val="28"/>
          <w:szCs w:val="28"/>
        </w:rPr>
        <w:t xml:space="preserve">налогов: подоходный налог – 38,9 </w:t>
      </w:r>
      <w:r w:rsidR="005B458B">
        <w:rPr>
          <w:rFonts w:ascii="Times New Roman" w:hAnsi="Times New Roman" w:cs="Times New Roman"/>
          <w:sz w:val="28"/>
          <w:szCs w:val="28"/>
        </w:rPr>
        <w:t>%;</w:t>
      </w:r>
      <w:r>
        <w:rPr>
          <w:rFonts w:ascii="Times New Roman" w:hAnsi="Times New Roman" w:cs="Times New Roman"/>
          <w:sz w:val="28"/>
          <w:szCs w:val="28"/>
        </w:rPr>
        <w:t xml:space="preserve"> платежи за пользование недрами</w:t>
      </w:r>
      <w:r w:rsidR="00E451ED">
        <w:rPr>
          <w:rFonts w:ascii="Times New Roman" w:hAnsi="Times New Roman" w:cs="Times New Roman"/>
          <w:sz w:val="28"/>
          <w:szCs w:val="28"/>
        </w:rPr>
        <w:t xml:space="preserve"> и природными ресурсами – 36,6 </w:t>
      </w:r>
      <w:r w:rsidR="005B458B">
        <w:rPr>
          <w:rFonts w:ascii="Times New Roman" w:hAnsi="Times New Roman" w:cs="Times New Roman"/>
          <w:sz w:val="28"/>
          <w:szCs w:val="28"/>
        </w:rPr>
        <w:t>%; налог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 w:rsidR="005B458B">
        <w:rPr>
          <w:rFonts w:ascii="Times New Roman" w:hAnsi="Times New Roman" w:cs="Times New Roman"/>
          <w:sz w:val="28"/>
          <w:szCs w:val="28"/>
        </w:rPr>
        <w:t xml:space="preserve"> </w:t>
      </w:r>
      <w:r w:rsidR="00BD4BFC">
        <w:rPr>
          <w:rFonts w:ascii="Times New Roman" w:hAnsi="Times New Roman" w:cs="Times New Roman"/>
          <w:sz w:val="28"/>
          <w:szCs w:val="28"/>
        </w:rPr>
        <w:t>–</w:t>
      </w:r>
      <w:r w:rsidR="005B458B">
        <w:rPr>
          <w:rFonts w:ascii="Times New Roman" w:hAnsi="Times New Roman" w:cs="Times New Roman"/>
          <w:sz w:val="28"/>
          <w:szCs w:val="28"/>
        </w:rPr>
        <w:t xml:space="preserve"> </w:t>
      </w:r>
      <w:r w:rsidR="00E451ED">
        <w:rPr>
          <w:rFonts w:ascii="Times New Roman" w:hAnsi="Times New Roman" w:cs="Times New Roman"/>
          <w:sz w:val="28"/>
          <w:szCs w:val="28"/>
        </w:rPr>
        <w:t xml:space="preserve">8,6 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7B2791" w:rsidRDefault="00CA2DEF" w:rsidP="004D01F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A2DEF">
        <w:rPr>
          <w:rFonts w:ascii="Times New Roman" w:hAnsi="Times New Roman" w:cs="Times New Roman"/>
          <w:sz w:val="28"/>
          <w:szCs w:val="28"/>
        </w:rPr>
        <w:t>Остаток бюджетных сре</w:t>
      </w:r>
      <w:r w:rsidR="00672A77">
        <w:rPr>
          <w:rFonts w:ascii="Times New Roman" w:hAnsi="Times New Roman" w:cs="Times New Roman"/>
          <w:sz w:val="28"/>
          <w:szCs w:val="28"/>
        </w:rPr>
        <w:t xml:space="preserve">дств на 01.01.2015 г. </w:t>
      </w:r>
      <w:r w:rsidR="00767DDD">
        <w:rPr>
          <w:rFonts w:ascii="Times New Roman" w:hAnsi="Times New Roman" w:cs="Times New Roman"/>
          <w:sz w:val="28"/>
          <w:szCs w:val="28"/>
        </w:rPr>
        <w:t>составил 1</w:t>
      </w:r>
      <w:r w:rsidR="00E451ED">
        <w:rPr>
          <w:rFonts w:ascii="Times New Roman" w:hAnsi="Times New Roman" w:cs="Times New Roman"/>
          <w:sz w:val="28"/>
          <w:szCs w:val="28"/>
        </w:rPr>
        <w:t> 273,1 тыс.</w:t>
      </w:r>
      <w:r w:rsidR="00767DDD">
        <w:rPr>
          <w:rFonts w:ascii="Times New Roman" w:hAnsi="Times New Roman" w:cs="Times New Roman"/>
          <w:sz w:val="28"/>
          <w:szCs w:val="28"/>
        </w:rPr>
        <w:t xml:space="preserve"> руб. в</w:t>
      </w:r>
      <w:r w:rsidR="00BD4BFC">
        <w:rPr>
          <w:rFonts w:ascii="Times New Roman" w:hAnsi="Times New Roman" w:cs="Times New Roman"/>
          <w:sz w:val="28"/>
          <w:szCs w:val="28"/>
        </w:rPr>
        <w:t>заимные расчеты – 2</w:t>
      </w:r>
      <w:r w:rsidR="00E451ED">
        <w:rPr>
          <w:rFonts w:ascii="Times New Roman" w:hAnsi="Times New Roman" w:cs="Times New Roman"/>
          <w:sz w:val="28"/>
          <w:szCs w:val="28"/>
        </w:rPr>
        <w:t> 942,7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11B72" w:rsidRPr="00211B72" w:rsidRDefault="00211B72" w:rsidP="00211B7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11B72">
        <w:rPr>
          <w:rFonts w:ascii="Times New Roman" w:hAnsi="Times New Roman" w:cs="Times New Roman"/>
          <w:sz w:val="24"/>
          <w:szCs w:val="24"/>
        </w:rPr>
        <w:t>Таблица №1</w:t>
      </w:r>
    </w:p>
    <w:p w:rsidR="004D01F0" w:rsidRDefault="00211B72" w:rsidP="00211B72">
      <w:pPr>
        <w:spacing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Сравнения исполнения доходной части бюджета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Ткуарчалского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за 2015 г.</w:t>
      </w:r>
    </w:p>
    <w:tbl>
      <w:tblPr>
        <w:tblW w:w="9251" w:type="dxa"/>
        <w:tblLook w:val="04A0" w:firstRow="1" w:lastRow="0" w:firstColumn="1" w:lastColumn="0" w:noHBand="0" w:noVBand="1"/>
      </w:tblPr>
      <w:tblGrid>
        <w:gridCol w:w="1933"/>
        <w:gridCol w:w="1492"/>
        <w:gridCol w:w="1532"/>
        <w:gridCol w:w="1675"/>
        <w:gridCol w:w="1261"/>
        <w:gridCol w:w="1358"/>
      </w:tblGrid>
      <w:tr w:rsidR="005468C2" w:rsidRPr="005468C2" w:rsidTr="006713B4">
        <w:trPr>
          <w:trHeight w:val="107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 за 2015г.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 за 2015г.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 от факта за 2015 г.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% исполнения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Удельный вес</w:t>
            </w:r>
          </w:p>
        </w:tc>
      </w:tr>
      <w:tr w:rsidR="005468C2" w:rsidRPr="005468C2" w:rsidTr="006713B4">
        <w:trPr>
          <w:trHeight w:val="45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на при</w:t>
            </w: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быль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3 123,1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874,9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-2 248,2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28,0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1,9</w:t>
            </w:r>
          </w:p>
        </w:tc>
      </w:tr>
      <w:tr w:rsidR="005468C2" w:rsidRPr="005468C2" w:rsidTr="006713B4">
        <w:trPr>
          <w:trHeight w:val="544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Подоходный налог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18 289,0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18 113,5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-175,5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99,0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38,9</w:t>
            </w:r>
          </w:p>
        </w:tc>
      </w:tr>
      <w:tr w:rsidR="005468C2" w:rsidRPr="005468C2" w:rsidTr="006713B4">
        <w:trPr>
          <w:trHeight w:val="944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Платежи за пользование недрами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11 258,0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17 030,6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5 772,6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151,3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36,6</w:t>
            </w:r>
          </w:p>
        </w:tc>
      </w:tr>
      <w:tr w:rsidR="005468C2" w:rsidRPr="005468C2" w:rsidTr="006713B4">
        <w:trPr>
          <w:trHeight w:val="45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Прочие налоги и сборы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212,0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1 500,3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1 288,3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707,7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</w:tr>
      <w:tr w:rsidR="005468C2" w:rsidRPr="005468C2" w:rsidTr="006713B4">
        <w:trPr>
          <w:trHeight w:val="22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Спецналог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420,0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449,6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29,6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107,0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1,0</w:t>
            </w:r>
          </w:p>
        </w:tc>
      </w:tr>
      <w:tr w:rsidR="005468C2" w:rsidRPr="005468C2" w:rsidTr="006713B4">
        <w:trPr>
          <w:trHeight w:val="45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2 309,5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4 018,0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1 708,5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174,0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8,6</w:t>
            </w:r>
          </w:p>
        </w:tc>
      </w:tr>
      <w:tr w:rsidR="005468C2" w:rsidRPr="005468C2" w:rsidTr="006713B4">
        <w:trPr>
          <w:trHeight w:val="22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НДС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2 745,6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1 976,4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-769,2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72,0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4,2</w:t>
            </w:r>
          </w:p>
        </w:tc>
      </w:tr>
      <w:tr w:rsidR="005468C2" w:rsidRPr="005468C2" w:rsidTr="006713B4">
        <w:trPr>
          <w:trHeight w:val="45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Доходы от приватизации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212,2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112,2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212,2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0,5</w:t>
            </w:r>
          </w:p>
        </w:tc>
      </w:tr>
      <w:tr w:rsidR="005468C2" w:rsidRPr="005468C2" w:rsidTr="006713B4">
        <w:trPr>
          <w:trHeight w:val="45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1 700,0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2 340,1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640,1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137,7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5,0</w:t>
            </w:r>
          </w:p>
        </w:tc>
      </w:tr>
      <w:tr w:rsidR="005468C2" w:rsidRPr="005468C2" w:rsidTr="006713B4">
        <w:trPr>
          <w:trHeight w:val="687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собственных доходов: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40 157,2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46 515,6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6 358,4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115,8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5468C2" w:rsidRPr="005468C2" w:rsidTr="006713B4">
        <w:trPr>
          <w:trHeight w:val="22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Дотация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92 000,0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79 694,5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-12 305,5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86,6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63,1</w:t>
            </w:r>
          </w:p>
        </w:tc>
      </w:tr>
      <w:tr w:rsidR="005468C2" w:rsidRPr="005468C2" w:rsidTr="006713B4">
        <w:trPr>
          <w:trHeight w:val="22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 доходов: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132 157,2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126 210,1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-5 947,1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95,5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5468C2" w:rsidRPr="005468C2" w:rsidTr="006713B4">
        <w:trPr>
          <w:trHeight w:val="916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бюджетных средств на нач</w:t>
            </w:r>
            <w:r w:rsidR="00211B72">
              <w:rPr>
                <w:rFonts w:ascii="Calibri" w:eastAsia="Times New Roman" w:hAnsi="Calibri" w:cs="Times New Roman"/>
                <w:color w:val="000000"/>
                <w:lang w:eastAsia="ru-RU"/>
              </w:rPr>
              <w:t>а</w:t>
            </w: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ло года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1 273,10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68C2" w:rsidRPr="005468C2" w:rsidTr="006713B4">
        <w:trPr>
          <w:trHeight w:val="458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Взаимные расчеты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2 942,70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5468C2" w:rsidRPr="005468C2" w:rsidTr="006713B4">
        <w:trPr>
          <w:trHeight w:val="229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 доходов: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130 425,90</w:t>
            </w:r>
          </w:p>
        </w:tc>
        <w:tc>
          <w:tcPr>
            <w:tcW w:w="42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468C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BD4BFC" w:rsidRPr="004D01F0" w:rsidRDefault="00BD4BFC" w:rsidP="005468C2">
      <w:pPr>
        <w:spacing w:line="36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DC70A6" w:rsidRDefault="008D3708" w:rsidP="0015317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отчету об исполнении бюджета о</w:t>
      </w:r>
      <w:r w:rsidR="00DB10BA" w:rsidRPr="00DB10BA">
        <w:rPr>
          <w:rFonts w:ascii="Times New Roman" w:hAnsi="Times New Roman" w:cs="Times New Roman"/>
          <w:sz w:val="28"/>
          <w:szCs w:val="28"/>
        </w:rPr>
        <w:t xml:space="preserve">бщий объем расходов </w:t>
      </w:r>
      <w:r w:rsidR="00047AA8">
        <w:rPr>
          <w:rFonts w:ascii="Times New Roman" w:hAnsi="Times New Roman" w:cs="Times New Roman"/>
          <w:sz w:val="28"/>
          <w:szCs w:val="28"/>
        </w:rPr>
        <w:t xml:space="preserve">бюджета </w:t>
      </w:r>
      <w:proofErr w:type="spellStart"/>
      <w:r w:rsidR="00047AA8">
        <w:rPr>
          <w:rFonts w:ascii="Times New Roman" w:hAnsi="Times New Roman" w:cs="Times New Roman"/>
          <w:sz w:val="28"/>
          <w:szCs w:val="28"/>
        </w:rPr>
        <w:t>Тку</w:t>
      </w:r>
      <w:r w:rsidR="00E451ED">
        <w:rPr>
          <w:rFonts w:ascii="Times New Roman" w:hAnsi="Times New Roman" w:cs="Times New Roman"/>
          <w:sz w:val="28"/>
          <w:szCs w:val="28"/>
        </w:rPr>
        <w:t>арчалского</w:t>
      </w:r>
      <w:proofErr w:type="spellEnd"/>
      <w:r w:rsidR="00E451ED">
        <w:rPr>
          <w:rFonts w:ascii="Times New Roman" w:hAnsi="Times New Roman" w:cs="Times New Roman"/>
          <w:sz w:val="28"/>
          <w:szCs w:val="28"/>
        </w:rPr>
        <w:t xml:space="preserve"> района за 20</w:t>
      </w:r>
      <w:r w:rsidR="00964416">
        <w:rPr>
          <w:rFonts w:ascii="Times New Roman" w:hAnsi="Times New Roman" w:cs="Times New Roman"/>
          <w:sz w:val="28"/>
          <w:szCs w:val="28"/>
        </w:rPr>
        <w:t>15</w:t>
      </w:r>
      <w:r w:rsidR="00047AA8">
        <w:rPr>
          <w:rFonts w:ascii="Times New Roman" w:hAnsi="Times New Roman" w:cs="Times New Roman"/>
          <w:sz w:val="28"/>
          <w:szCs w:val="28"/>
        </w:rPr>
        <w:t xml:space="preserve"> </w:t>
      </w:r>
      <w:r w:rsidR="0051434B">
        <w:rPr>
          <w:rFonts w:ascii="Times New Roman" w:hAnsi="Times New Roman" w:cs="Times New Roman"/>
          <w:sz w:val="28"/>
          <w:szCs w:val="28"/>
        </w:rPr>
        <w:t>год</w:t>
      </w:r>
      <w:r w:rsidR="00E451ED">
        <w:rPr>
          <w:rFonts w:ascii="Times New Roman" w:hAnsi="Times New Roman" w:cs="Times New Roman"/>
          <w:sz w:val="28"/>
          <w:szCs w:val="28"/>
        </w:rPr>
        <w:t xml:space="preserve"> планировался в сумме 132 157,2</w:t>
      </w:r>
      <w:r w:rsidR="00047AA8"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>. руб.</w:t>
      </w:r>
      <w:r w:rsidR="000A64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исполнение расходных обязательств за</w:t>
      </w:r>
      <w:r w:rsidR="00047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рассматриваемый период составило</w:t>
      </w:r>
      <w:r w:rsidR="00153171">
        <w:rPr>
          <w:rFonts w:ascii="Times New Roman" w:hAnsi="Times New Roman" w:cs="Times New Roman"/>
          <w:sz w:val="28"/>
          <w:szCs w:val="28"/>
        </w:rPr>
        <w:t xml:space="preserve"> 125 099,9</w:t>
      </w:r>
      <w:r w:rsidR="00047AA8">
        <w:rPr>
          <w:rFonts w:ascii="Times New Roman" w:hAnsi="Times New Roman" w:cs="Times New Roman"/>
          <w:sz w:val="28"/>
          <w:szCs w:val="28"/>
        </w:rPr>
        <w:t xml:space="preserve"> тыс. </w:t>
      </w:r>
      <w:r w:rsidR="00153171">
        <w:rPr>
          <w:rFonts w:ascii="Times New Roman" w:hAnsi="Times New Roman" w:cs="Times New Roman"/>
          <w:sz w:val="28"/>
          <w:szCs w:val="28"/>
        </w:rPr>
        <w:t>руб., что на 7 057,3</w:t>
      </w:r>
      <w:r w:rsidR="003A0BD4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211B72">
        <w:rPr>
          <w:rFonts w:ascii="Times New Roman" w:hAnsi="Times New Roman" w:cs="Times New Roman"/>
          <w:sz w:val="28"/>
          <w:szCs w:val="28"/>
        </w:rPr>
        <w:t xml:space="preserve">меньше утвержденных бюджетных назначений. </w:t>
      </w:r>
    </w:p>
    <w:p w:rsidR="00211B72" w:rsidRPr="00211B72" w:rsidRDefault="00211B72" w:rsidP="00211B72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11B72">
        <w:rPr>
          <w:rFonts w:ascii="Times New Roman" w:hAnsi="Times New Roman" w:cs="Times New Roman"/>
          <w:sz w:val="24"/>
          <w:szCs w:val="24"/>
        </w:rPr>
        <w:t>Таблица №2</w:t>
      </w:r>
    </w:p>
    <w:p w:rsidR="00BD4BFC" w:rsidRPr="0051434B" w:rsidRDefault="00211B72" w:rsidP="00211B72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Сравнение исполнения расходной части бюджета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Ткуарчалского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за 2015 г. </w:t>
      </w:r>
    </w:p>
    <w:p w:rsidR="0051434B" w:rsidRPr="0051434B" w:rsidRDefault="0051434B" w:rsidP="0051434B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1434B">
        <w:rPr>
          <w:rFonts w:ascii="Times New Roman" w:hAnsi="Times New Roman" w:cs="Times New Roman"/>
          <w:sz w:val="24"/>
          <w:szCs w:val="24"/>
        </w:rPr>
        <w:t xml:space="preserve">тыс. руб.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149"/>
        <w:gridCol w:w="1330"/>
        <w:gridCol w:w="1652"/>
        <w:gridCol w:w="1527"/>
        <w:gridCol w:w="1470"/>
        <w:gridCol w:w="1336"/>
      </w:tblGrid>
      <w:tr w:rsidR="005468C2" w:rsidRPr="005468C2" w:rsidTr="005468C2">
        <w:trPr>
          <w:trHeight w:val="122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показателей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Плановые расходы за 2015 г.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Фактические расходы за 2015 г.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 от плана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% исполнение 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Удельный вес</w:t>
            </w:r>
          </w:p>
        </w:tc>
      </w:tr>
      <w:tr w:rsidR="005468C2" w:rsidRPr="005468C2" w:rsidTr="005468C2">
        <w:trPr>
          <w:trHeight w:val="700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Народное хозяйство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8 767,1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8 846,2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7,1</w:t>
            </w:r>
          </w:p>
        </w:tc>
      </w:tr>
      <w:tr w:rsidR="005468C2" w:rsidRPr="005468C2" w:rsidTr="005468C2">
        <w:trPr>
          <w:trHeight w:val="498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200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Народное образование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80 158,9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71 950,2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-8 208,7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57,5</w:t>
            </w:r>
          </w:p>
        </w:tc>
      </w:tr>
      <w:tr w:rsidR="005468C2" w:rsidRPr="005468C2" w:rsidTr="005468C2">
        <w:trPr>
          <w:trHeight w:val="615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201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Культура и искусство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2 199,2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2 040,4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-158,8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</w:tr>
      <w:tr w:rsidR="005468C2" w:rsidRPr="005468C2" w:rsidTr="005468C2">
        <w:trPr>
          <w:trHeight w:val="254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Наука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361,6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364,2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</w:tr>
      <w:tr w:rsidR="005468C2" w:rsidRPr="005468C2" w:rsidTr="005468C2">
        <w:trPr>
          <w:trHeight w:val="254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203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Здравоохран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ен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22 270,3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20 177,0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-2 093,3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90,6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</w:t>
            </w:r>
          </w:p>
        </w:tc>
      </w:tr>
      <w:tr w:rsidR="005468C2" w:rsidRPr="005468C2" w:rsidTr="005468C2">
        <w:trPr>
          <w:trHeight w:val="1337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204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Физическая культура, спорт и работа с молодежью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4 958,8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4 834,7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-124,1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</w:t>
            </w:r>
          </w:p>
        </w:tc>
      </w:tr>
      <w:tr w:rsidR="005468C2" w:rsidRPr="005468C2" w:rsidTr="005468C2">
        <w:trPr>
          <w:trHeight w:val="541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207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Социальное обеспечение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258,2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255,7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</w:tr>
      <w:tr w:rsidR="005468C2" w:rsidRPr="005468C2" w:rsidTr="005468C2">
        <w:trPr>
          <w:trHeight w:val="986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214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Органы Государственного управления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11 133,1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10 610,4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-522,7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8,5</w:t>
            </w:r>
          </w:p>
        </w:tc>
      </w:tr>
      <w:tr w:rsidR="005468C2" w:rsidRPr="005468C2" w:rsidTr="005468C2">
        <w:trPr>
          <w:trHeight w:val="254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216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Резервный фонд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2 000,0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5 974,6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3 974,6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</w:tr>
      <w:tr w:rsidR="005468C2" w:rsidRPr="005468C2" w:rsidTr="005468C2">
        <w:trPr>
          <w:trHeight w:val="498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153171" w:rsidRDefault="00211B7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222 «</w:t>
            </w:r>
            <w:r w:rsidR="005468C2" w:rsidRPr="0015317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мероприятия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»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46,5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5468C2" w:rsidRPr="005468C2" w:rsidTr="005468C2">
        <w:trPr>
          <w:trHeight w:val="254"/>
        </w:trPr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расходов</w:t>
            </w:r>
            <w:r w:rsidR="00211B7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132 157,2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125 099,9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-7 057,3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94,7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8C2" w:rsidRPr="005468C2" w:rsidRDefault="005468C2" w:rsidP="00546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68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</w:tbl>
    <w:p w:rsidR="005468C2" w:rsidRDefault="005468C2" w:rsidP="0015317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A7078" w:rsidRDefault="009B2B06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</w:t>
      </w:r>
      <w:r w:rsidR="003A0BD4">
        <w:rPr>
          <w:rFonts w:ascii="Times New Roman" w:hAnsi="Times New Roman" w:cs="Times New Roman"/>
          <w:sz w:val="28"/>
          <w:szCs w:val="28"/>
        </w:rPr>
        <w:t xml:space="preserve"> 100 «Народное </w:t>
      </w:r>
      <w:r>
        <w:rPr>
          <w:rFonts w:ascii="Times New Roman" w:hAnsi="Times New Roman" w:cs="Times New Roman"/>
          <w:sz w:val="28"/>
          <w:szCs w:val="28"/>
        </w:rPr>
        <w:t>хозяйство»</w:t>
      </w:r>
      <w:r w:rsidR="00153171">
        <w:rPr>
          <w:rFonts w:ascii="Times New Roman" w:hAnsi="Times New Roman" w:cs="Times New Roman"/>
          <w:sz w:val="28"/>
          <w:szCs w:val="28"/>
        </w:rPr>
        <w:t xml:space="preserve"> при плане на 2015</w:t>
      </w:r>
      <w:r w:rsidR="00C97E35">
        <w:rPr>
          <w:rFonts w:ascii="Times New Roman" w:hAnsi="Times New Roman" w:cs="Times New Roman"/>
          <w:sz w:val="28"/>
          <w:szCs w:val="28"/>
        </w:rPr>
        <w:t xml:space="preserve"> год</w:t>
      </w:r>
      <w:r w:rsidR="00964416">
        <w:rPr>
          <w:rFonts w:ascii="Times New Roman" w:hAnsi="Times New Roman" w:cs="Times New Roman"/>
          <w:sz w:val="28"/>
          <w:szCs w:val="28"/>
        </w:rPr>
        <w:t xml:space="preserve"> </w:t>
      </w:r>
      <w:r w:rsidR="00153171">
        <w:rPr>
          <w:rFonts w:ascii="Times New Roman" w:hAnsi="Times New Roman" w:cs="Times New Roman"/>
          <w:sz w:val="28"/>
          <w:szCs w:val="28"/>
        </w:rPr>
        <w:t>8 767,1</w:t>
      </w:r>
      <w:r w:rsidR="00964416">
        <w:rPr>
          <w:rFonts w:ascii="Times New Roman" w:hAnsi="Times New Roman" w:cs="Times New Roman"/>
          <w:sz w:val="28"/>
          <w:szCs w:val="28"/>
        </w:rPr>
        <w:t>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964416">
        <w:rPr>
          <w:rFonts w:ascii="Times New Roman" w:hAnsi="Times New Roman" w:cs="Times New Roman"/>
          <w:sz w:val="28"/>
          <w:szCs w:val="28"/>
        </w:rPr>
        <w:t xml:space="preserve"> расходы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B5A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414DCB">
        <w:rPr>
          <w:rFonts w:ascii="Times New Roman" w:hAnsi="Times New Roman" w:cs="Times New Roman"/>
          <w:sz w:val="28"/>
          <w:szCs w:val="28"/>
        </w:rPr>
        <w:t>8 846,2</w:t>
      </w:r>
      <w:r w:rsidR="00153171">
        <w:rPr>
          <w:rFonts w:ascii="Times New Roman" w:hAnsi="Times New Roman" w:cs="Times New Roman"/>
          <w:sz w:val="28"/>
          <w:szCs w:val="28"/>
        </w:rPr>
        <w:t xml:space="preserve"> </w:t>
      </w:r>
      <w:r w:rsidR="00964416">
        <w:rPr>
          <w:rFonts w:ascii="Times New Roman" w:hAnsi="Times New Roman" w:cs="Times New Roman"/>
          <w:sz w:val="28"/>
          <w:szCs w:val="28"/>
        </w:rPr>
        <w:t>тыс. руб.</w:t>
      </w:r>
      <w:r w:rsidR="00AB3180">
        <w:rPr>
          <w:rFonts w:ascii="Times New Roman" w:hAnsi="Times New Roman" w:cs="Times New Roman"/>
          <w:sz w:val="28"/>
          <w:szCs w:val="28"/>
        </w:rPr>
        <w:t>, утвержденные бюджетн</w:t>
      </w:r>
      <w:r w:rsidR="008C5B5A">
        <w:rPr>
          <w:rFonts w:ascii="Times New Roman" w:hAnsi="Times New Roman" w:cs="Times New Roman"/>
          <w:sz w:val="28"/>
          <w:szCs w:val="28"/>
        </w:rPr>
        <w:t xml:space="preserve">ые назначения исполнены </w:t>
      </w:r>
      <w:r w:rsidR="00153171">
        <w:rPr>
          <w:rFonts w:ascii="Times New Roman" w:hAnsi="Times New Roman" w:cs="Times New Roman"/>
          <w:sz w:val="28"/>
          <w:szCs w:val="28"/>
        </w:rPr>
        <w:t xml:space="preserve">на 100,9 </w:t>
      </w:r>
      <w:r w:rsidR="00964416">
        <w:rPr>
          <w:rFonts w:ascii="Times New Roman" w:hAnsi="Times New Roman" w:cs="Times New Roman"/>
          <w:sz w:val="28"/>
          <w:szCs w:val="28"/>
        </w:rPr>
        <w:t>%.</w:t>
      </w:r>
      <w:r w:rsidR="00F12C59">
        <w:rPr>
          <w:rFonts w:ascii="Times New Roman" w:hAnsi="Times New Roman" w:cs="Times New Roman"/>
          <w:sz w:val="28"/>
          <w:szCs w:val="28"/>
        </w:rPr>
        <w:t xml:space="preserve"> Из общей суммы расходов раздела</w:t>
      </w:r>
      <w:r w:rsidR="00414DCB">
        <w:rPr>
          <w:rFonts w:ascii="Times New Roman" w:hAnsi="Times New Roman" w:cs="Times New Roman"/>
          <w:sz w:val="28"/>
          <w:szCs w:val="28"/>
        </w:rPr>
        <w:t xml:space="preserve"> на</w:t>
      </w:r>
      <w:r w:rsidR="00153171">
        <w:rPr>
          <w:rFonts w:ascii="Times New Roman" w:hAnsi="Times New Roman" w:cs="Times New Roman"/>
          <w:sz w:val="28"/>
          <w:szCs w:val="28"/>
        </w:rPr>
        <w:t xml:space="preserve"> ремонт дорог </w:t>
      </w:r>
      <w:r w:rsidR="0086394A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153171">
        <w:rPr>
          <w:rFonts w:ascii="Times New Roman" w:hAnsi="Times New Roman" w:cs="Times New Roman"/>
          <w:sz w:val="28"/>
          <w:szCs w:val="28"/>
        </w:rPr>
        <w:t>2 189,1 тыс.</w:t>
      </w:r>
      <w:r w:rsidR="00F12C59">
        <w:rPr>
          <w:rFonts w:ascii="Times New Roman" w:hAnsi="Times New Roman" w:cs="Times New Roman"/>
          <w:sz w:val="28"/>
          <w:szCs w:val="28"/>
        </w:rPr>
        <w:t xml:space="preserve"> руб., на финансирование про</w:t>
      </w:r>
      <w:r w:rsidR="00153171">
        <w:rPr>
          <w:rFonts w:ascii="Times New Roman" w:hAnsi="Times New Roman" w:cs="Times New Roman"/>
          <w:sz w:val="28"/>
          <w:szCs w:val="28"/>
        </w:rPr>
        <w:t>чих мероприятий 1 143,8</w:t>
      </w:r>
      <w:r w:rsidR="00EE7763">
        <w:rPr>
          <w:rFonts w:ascii="Times New Roman" w:hAnsi="Times New Roman" w:cs="Times New Roman"/>
          <w:sz w:val="28"/>
          <w:szCs w:val="28"/>
        </w:rPr>
        <w:t xml:space="preserve"> тыс. руб.,</w:t>
      </w:r>
      <w:r w:rsidR="008639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874" w:rsidRPr="004F437B" w:rsidRDefault="006A7078" w:rsidP="004F43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статью</w:t>
      </w:r>
      <w:r w:rsidR="00863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</w:t>
      </w:r>
      <w:r w:rsidR="0086394A">
        <w:rPr>
          <w:rFonts w:ascii="Times New Roman" w:hAnsi="Times New Roman" w:cs="Times New Roman"/>
          <w:sz w:val="28"/>
          <w:szCs w:val="28"/>
        </w:rPr>
        <w:t xml:space="preserve">лагоустройство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86394A">
        <w:rPr>
          <w:rFonts w:ascii="Times New Roman" w:hAnsi="Times New Roman" w:cs="Times New Roman"/>
          <w:sz w:val="28"/>
          <w:szCs w:val="28"/>
        </w:rPr>
        <w:t>и ремонт городских коммуникаций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394A">
        <w:rPr>
          <w:rFonts w:ascii="Times New Roman" w:hAnsi="Times New Roman" w:cs="Times New Roman"/>
          <w:sz w:val="28"/>
          <w:szCs w:val="28"/>
        </w:rPr>
        <w:t xml:space="preserve"> направлено 5 058,0</w:t>
      </w:r>
      <w:r w:rsidR="0051434B">
        <w:rPr>
          <w:rFonts w:ascii="Times New Roman" w:hAnsi="Times New Roman" w:cs="Times New Roman"/>
          <w:sz w:val="28"/>
          <w:szCs w:val="28"/>
        </w:rPr>
        <w:t xml:space="preserve"> </w:t>
      </w:r>
      <w:r w:rsidR="0086394A">
        <w:rPr>
          <w:rFonts w:ascii="Times New Roman" w:hAnsi="Times New Roman" w:cs="Times New Roman"/>
          <w:sz w:val="28"/>
          <w:szCs w:val="28"/>
        </w:rPr>
        <w:t>тыс. руб., что на 2 994,2 тыс. руб. п</w:t>
      </w:r>
      <w:r>
        <w:rPr>
          <w:rFonts w:ascii="Times New Roman" w:hAnsi="Times New Roman" w:cs="Times New Roman"/>
          <w:sz w:val="28"/>
          <w:szCs w:val="28"/>
        </w:rPr>
        <w:t>ревышает прогнозируемые расходы. В соответствии с решением Собрания</w:t>
      </w:r>
      <w:r w:rsidR="00514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434B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51434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№9 от 16.12.2015 г.  </w:t>
      </w:r>
      <w:r w:rsidR="008639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денежные средства в сумме 3 576,6 были направлены на выплату</w:t>
      </w:r>
      <w:r w:rsidR="0086394A">
        <w:rPr>
          <w:rFonts w:ascii="Times New Roman" w:hAnsi="Times New Roman" w:cs="Times New Roman"/>
          <w:sz w:val="28"/>
          <w:szCs w:val="28"/>
        </w:rPr>
        <w:t xml:space="preserve"> заработной платы рабочим санитарной службы МУП ЖКХ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2B">
        <w:rPr>
          <w:rFonts w:ascii="Times New Roman" w:hAnsi="Times New Roman" w:cs="Times New Roman"/>
          <w:sz w:val="28"/>
          <w:szCs w:val="28"/>
        </w:rPr>
        <w:t>п</w:t>
      </w:r>
      <w:r w:rsidR="00A20EE5">
        <w:rPr>
          <w:rFonts w:ascii="Times New Roman" w:hAnsi="Times New Roman" w:cs="Times New Roman"/>
          <w:sz w:val="28"/>
          <w:szCs w:val="28"/>
        </w:rPr>
        <w:t xml:space="preserve">ри этом, </w:t>
      </w:r>
      <w:r w:rsidR="00C70E2B">
        <w:rPr>
          <w:rFonts w:ascii="Times New Roman" w:hAnsi="Times New Roman" w:cs="Times New Roman"/>
          <w:sz w:val="28"/>
          <w:szCs w:val="28"/>
        </w:rPr>
        <w:t xml:space="preserve">в </w:t>
      </w:r>
      <w:r w:rsidR="00F95D3F">
        <w:rPr>
          <w:rFonts w:ascii="Times New Roman" w:hAnsi="Times New Roman" w:cs="Times New Roman"/>
          <w:sz w:val="28"/>
          <w:szCs w:val="28"/>
        </w:rPr>
        <w:t>решении</w:t>
      </w:r>
      <w:r w:rsidR="00A20EE5">
        <w:rPr>
          <w:rFonts w:ascii="Times New Roman" w:hAnsi="Times New Roman" w:cs="Times New Roman"/>
          <w:sz w:val="28"/>
          <w:szCs w:val="28"/>
        </w:rPr>
        <w:t xml:space="preserve"> </w:t>
      </w:r>
      <w:r w:rsidR="00C70E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был указан источник осуществления</w:t>
      </w:r>
      <w:r w:rsidR="001A327C">
        <w:rPr>
          <w:rFonts w:ascii="Times New Roman" w:hAnsi="Times New Roman" w:cs="Times New Roman"/>
          <w:sz w:val="28"/>
          <w:szCs w:val="28"/>
        </w:rPr>
        <w:t xml:space="preserve"> данных расходов</w:t>
      </w:r>
      <w:r w:rsidR="00CB525B">
        <w:rPr>
          <w:rFonts w:ascii="Times New Roman" w:hAnsi="Times New Roman" w:cs="Times New Roman"/>
          <w:sz w:val="28"/>
          <w:szCs w:val="28"/>
        </w:rPr>
        <w:t>.</w:t>
      </w:r>
      <w:r w:rsidR="00A10874" w:rsidRPr="004F1E4C">
        <w:rPr>
          <w:rFonts w:ascii="Times New Roman" w:hAnsi="Times New Roman" w:cs="Times New Roman"/>
          <w:i/>
          <w:color w:val="D9D9D9" w:themeColor="background1" w:themeShade="D9"/>
          <w:sz w:val="28"/>
          <w:szCs w:val="28"/>
        </w:rPr>
        <w:t xml:space="preserve">  </w:t>
      </w:r>
    </w:p>
    <w:p w:rsidR="00DB1D10" w:rsidRDefault="002702D5" w:rsidP="009026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200</w:t>
      </w:r>
      <w:r w:rsidR="00345BCF">
        <w:rPr>
          <w:rFonts w:ascii="Times New Roman" w:hAnsi="Times New Roman" w:cs="Times New Roman"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792">
        <w:rPr>
          <w:rFonts w:ascii="Times New Roman" w:hAnsi="Times New Roman" w:cs="Times New Roman"/>
          <w:sz w:val="28"/>
          <w:szCs w:val="28"/>
        </w:rPr>
        <w:t>при плане 80 158,9</w:t>
      </w:r>
      <w:r w:rsidR="005D5B48">
        <w:rPr>
          <w:rFonts w:ascii="Times New Roman" w:hAnsi="Times New Roman" w:cs="Times New Roman"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sz w:val="28"/>
          <w:szCs w:val="28"/>
        </w:rPr>
        <w:t xml:space="preserve">за рассматриваемый период были осуществлены расходы на </w:t>
      </w:r>
      <w:r w:rsidR="00F12C59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440792">
        <w:rPr>
          <w:rFonts w:ascii="Times New Roman" w:hAnsi="Times New Roman" w:cs="Times New Roman"/>
          <w:sz w:val="28"/>
          <w:szCs w:val="28"/>
        </w:rPr>
        <w:t>71 950,2</w:t>
      </w:r>
      <w:r w:rsidR="000A6437">
        <w:rPr>
          <w:rFonts w:ascii="Times New Roman" w:hAnsi="Times New Roman" w:cs="Times New Roman"/>
          <w:sz w:val="28"/>
          <w:szCs w:val="28"/>
        </w:rPr>
        <w:t xml:space="preserve"> тыс. </w:t>
      </w:r>
      <w:r w:rsidR="00EC70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руб.</w:t>
      </w:r>
      <w:r w:rsidR="005D5B48">
        <w:rPr>
          <w:rFonts w:ascii="Times New Roman" w:hAnsi="Times New Roman" w:cs="Times New Roman"/>
          <w:sz w:val="28"/>
          <w:szCs w:val="28"/>
        </w:rPr>
        <w:t xml:space="preserve">, </w:t>
      </w:r>
      <w:r w:rsidR="00440792">
        <w:rPr>
          <w:rFonts w:ascii="Times New Roman" w:hAnsi="Times New Roman" w:cs="Times New Roman"/>
          <w:sz w:val="28"/>
          <w:szCs w:val="28"/>
        </w:rPr>
        <w:t>что на 8 208,7</w:t>
      </w:r>
      <w:r w:rsidR="005D5B4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22082">
        <w:rPr>
          <w:rFonts w:ascii="Times New Roman" w:hAnsi="Times New Roman" w:cs="Times New Roman"/>
          <w:sz w:val="28"/>
          <w:szCs w:val="28"/>
        </w:rPr>
        <w:t>,</w:t>
      </w:r>
      <w:r w:rsidR="005D5B48">
        <w:rPr>
          <w:rFonts w:ascii="Times New Roman" w:hAnsi="Times New Roman" w:cs="Times New Roman"/>
          <w:sz w:val="28"/>
          <w:szCs w:val="28"/>
        </w:rPr>
        <w:t xml:space="preserve"> меньше запланированной суммы</w:t>
      </w:r>
      <w:r w:rsidR="00211B72">
        <w:rPr>
          <w:rFonts w:ascii="Times New Roman" w:hAnsi="Times New Roman" w:cs="Times New Roman"/>
          <w:sz w:val="28"/>
          <w:szCs w:val="28"/>
        </w:rPr>
        <w:t>,</w:t>
      </w:r>
      <w:r w:rsidR="00733D05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0C5A54">
        <w:rPr>
          <w:rFonts w:ascii="Times New Roman" w:hAnsi="Times New Roman" w:cs="Times New Roman"/>
          <w:sz w:val="28"/>
          <w:szCs w:val="28"/>
        </w:rPr>
        <w:t xml:space="preserve"> утвержденных бюджетных назнач</w:t>
      </w:r>
      <w:r w:rsidR="00440792">
        <w:rPr>
          <w:rFonts w:ascii="Times New Roman" w:hAnsi="Times New Roman" w:cs="Times New Roman"/>
          <w:sz w:val="28"/>
          <w:szCs w:val="28"/>
        </w:rPr>
        <w:t xml:space="preserve">ений составило 89,8 </w:t>
      </w:r>
      <w:r w:rsidR="00AB3180">
        <w:rPr>
          <w:rFonts w:ascii="Times New Roman" w:hAnsi="Times New Roman" w:cs="Times New Roman"/>
          <w:sz w:val="28"/>
          <w:szCs w:val="28"/>
        </w:rPr>
        <w:t xml:space="preserve">%. </w:t>
      </w:r>
      <w:r w:rsidR="00A432ED" w:rsidRPr="002617F1">
        <w:rPr>
          <w:rFonts w:ascii="Times New Roman" w:hAnsi="Times New Roman" w:cs="Times New Roman"/>
          <w:sz w:val="28"/>
          <w:szCs w:val="28"/>
        </w:rPr>
        <w:t>Имело место н</w:t>
      </w:r>
      <w:r w:rsidR="005D5B48" w:rsidRPr="002617F1">
        <w:rPr>
          <w:rFonts w:ascii="Times New Roman" w:hAnsi="Times New Roman" w:cs="Times New Roman"/>
          <w:sz w:val="28"/>
          <w:szCs w:val="28"/>
        </w:rPr>
        <w:t>едофинансирование по ст.1 «За</w:t>
      </w:r>
      <w:r w:rsidR="00440792" w:rsidRPr="002617F1">
        <w:rPr>
          <w:rFonts w:ascii="Times New Roman" w:hAnsi="Times New Roman" w:cs="Times New Roman"/>
          <w:sz w:val="28"/>
          <w:szCs w:val="28"/>
        </w:rPr>
        <w:t>работная плата» на сумму 7 495,1 тыс.</w:t>
      </w:r>
      <w:r w:rsidR="005D5B48" w:rsidRPr="002617F1">
        <w:rPr>
          <w:rFonts w:ascii="Times New Roman" w:hAnsi="Times New Roman" w:cs="Times New Roman"/>
          <w:sz w:val="28"/>
          <w:szCs w:val="28"/>
        </w:rPr>
        <w:t xml:space="preserve"> руб.</w:t>
      </w:r>
      <w:r w:rsidR="00422082" w:rsidRPr="002617F1">
        <w:rPr>
          <w:rFonts w:ascii="Times New Roman" w:hAnsi="Times New Roman" w:cs="Times New Roman"/>
          <w:sz w:val="28"/>
          <w:szCs w:val="28"/>
        </w:rPr>
        <w:t>,</w:t>
      </w:r>
      <w:r w:rsidR="005D5B48" w:rsidRPr="002617F1">
        <w:rPr>
          <w:rFonts w:ascii="Times New Roman" w:hAnsi="Times New Roman" w:cs="Times New Roman"/>
          <w:sz w:val="28"/>
          <w:szCs w:val="28"/>
        </w:rPr>
        <w:t xml:space="preserve"> </w:t>
      </w:r>
      <w:r w:rsidR="00A432ED" w:rsidRPr="002617F1">
        <w:rPr>
          <w:rFonts w:ascii="Times New Roman" w:hAnsi="Times New Roman" w:cs="Times New Roman"/>
          <w:sz w:val="28"/>
          <w:szCs w:val="28"/>
        </w:rPr>
        <w:t>и по ст.2 «Отчисления во внебюджетные фонды» на сумм</w:t>
      </w:r>
      <w:r w:rsidR="00440792" w:rsidRPr="002617F1">
        <w:rPr>
          <w:rFonts w:ascii="Times New Roman" w:hAnsi="Times New Roman" w:cs="Times New Roman"/>
          <w:sz w:val="28"/>
          <w:szCs w:val="28"/>
        </w:rPr>
        <w:t xml:space="preserve">у 1 013,4 </w:t>
      </w:r>
      <w:r w:rsidR="00A432ED" w:rsidRPr="002617F1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617F1" w:rsidRPr="002617F1">
        <w:rPr>
          <w:rFonts w:ascii="Times New Roman" w:hAnsi="Times New Roman" w:cs="Times New Roman"/>
          <w:sz w:val="28"/>
          <w:szCs w:val="28"/>
        </w:rPr>
        <w:t>Задолженность по оплате труда в виде разницы</w:t>
      </w:r>
      <w:r w:rsidR="002617F1">
        <w:rPr>
          <w:rFonts w:ascii="Times New Roman" w:hAnsi="Times New Roman" w:cs="Times New Roman"/>
          <w:sz w:val="28"/>
          <w:szCs w:val="28"/>
        </w:rPr>
        <w:t xml:space="preserve"> между начисленной и </w:t>
      </w:r>
      <w:r w:rsidR="002617F1">
        <w:rPr>
          <w:rFonts w:ascii="Times New Roman" w:hAnsi="Times New Roman" w:cs="Times New Roman"/>
          <w:sz w:val="28"/>
          <w:szCs w:val="28"/>
        </w:rPr>
        <w:lastRenderedPageBreak/>
        <w:t>оплаченной заработной п</w:t>
      </w:r>
      <w:r w:rsidR="00960423">
        <w:rPr>
          <w:rFonts w:ascii="Times New Roman" w:hAnsi="Times New Roman" w:cs="Times New Roman"/>
          <w:sz w:val="28"/>
          <w:szCs w:val="28"/>
        </w:rPr>
        <w:t>латой</w:t>
      </w:r>
      <w:r w:rsidR="002617F1">
        <w:rPr>
          <w:rFonts w:ascii="Times New Roman" w:hAnsi="Times New Roman" w:cs="Times New Roman"/>
          <w:sz w:val="28"/>
          <w:szCs w:val="28"/>
        </w:rPr>
        <w:t xml:space="preserve"> на 01.01.2016 год с</w:t>
      </w:r>
      <w:r w:rsidR="007F28B2">
        <w:rPr>
          <w:rFonts w:ascii="Times New Roman" w:hAnsi="Times New Roman" w:cs="Times New Roman"/>
          <w:sz w:val="28"/>
          <w:szCs w:val="28"/>
        </w:rPr>
        <w:t>оставила по разделу «Образование</w:t>
      </w:r>
      <w:r w:rsidR="002617F1">
        <w:rPr>
          <w:rFonts w:ascii="Times New Roman" w:hAnsi="Times New Roman" w:cs="Times New Roman"/>
          <w:sz w:val="28"/>
          <w:szCs w:val="28"/>
        </w:rPr>
        <w:t>»</w:t>
      </w:r>
      <w:r w:rsidR="00960423">
        <w:rPr>
          <w:rFonts w:ascii="Times New Roman" w:hAnsi="Times New Roman" w:cs="Times New Roman"/>
          <w:sz w:val="28"/>
          <w:szCs w:val="28"/>
        </w:rPr>
        <w:t xml:space="preserve"> 4 890,9 тыс. руб.  </w:t>
      </w:r>
    </w:p>
    <w:p w:rsidR="00A20EE5" w:rsidRPr="00C0018A" w:rsidRDefault="000A0EE3" w:rsidP="009026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Также</w:t>
      </w:r>
      <w:r w:rsidR="001E2F5E">
        <w:rPr>
          <w:rFonts w:ascii="Times New Roman" w:hAnsi="Times New Roman" w:cs="Times New Roman"/>
          <w:color w:val="FF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не были исполнены расходные обязательства </w:t>
      </w:r>
      <w:r w:rsidR="001E2F5E" w:rsidRPr="00C0018A">
        <w:rPr>
          <w:rFonts w:ascii="Times New Roman" w:hAnsi="Times New Roman" w:cs="Times New Roman"/>
          <w:color w:val="FF0000"/>
          <w:sz w:val="28"/>
          <w:szCs w:val="28"/>
        </w:rPr>
        <w:t>по Детскому саду «</w:t>
      </w:r>
      <w:proofErr w:type="spellStart"/>
      <w:r w:rsidR="001E2F5E" w:rsidRPr="00C0018A">
        <w:rPr>
          <w:rFonts w:ascii="Times New Roman" w:hAnsi="Times New Roman" w:cs="Times New Roman"/>
          <w:color w:val="FF0000"/>
          <w:sz w:val="28"/>
          <w:szCs w:val="28"/>
        </w:rPr>
        <w:t>Амра</w:t>
      </w:r>
      <w:proofErr w:type="spellEnd"/>
      <w:r w:rsidR="001E2F5E" w:rsidRPr="00C0018A">
        <w:rPr>
          <w:rFonts w:ascii="Times New Roman" w:hAnsi="Times New Roman" w:cs="Times New Roman"/>
          <w:color w:val="FF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FF0000"/>
          <w:sz w:val="28"/>
          <w:szCs w:val="28"/>
        </w:rPr>
        <w:t>в сумме</w:t>
      </w:r>
      <w:r w:rsidRPr="00C0018A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  <w:r w:rsidR="00C0018A" w:rsidRPr="00C0018A">
        <w:rPr>
          <w:rFonts w:ascii="Times New Roman" w:hAnsi="Times New Roman" w:cs="Times New Roman"/>
          <w:color w:val="FF0000"/>
          <w:sz w:val="28"/>
          <w:szCs w:val="28"/>
        </w:rPr>
        <w:t> 902,6 тыс. руб.</w:t>
      </w:r>
      <w:r w:rsidR="001E2F5E">
        <w:rPr>
          <w:rFonts w:ascii="Times New Roman" w:hAnsi="Times New Roman" w:cs="Times New Roman"/>
          <w:color w:val="FF0000"/>
          <w:sz w:val="28"/>
          <w:szCs w:val="28"/>
        </w:rPr>
        <w:t>, так как, в связи</w:t>
      </w:r>
      <w:r w:rsidR="00C0018A" w:rsidRPr="00C001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2F5E">
        <w:rPr>
          <w:rFonts w:ascii="Times New Roman" w:hAnsi="Times New Roman" w:cs="Times New Roman"/>
          <w:color w:val="FF0000"/>
          <w:sz w:val="28"/>
          <w:szCs w:val="28"/>
        </w:rPr>
        <w:t xml:space="preserve">с </w:t>
      </w:r>
      <w:proofErr w:type="spellStart"/>
      <w:r w:rsidR="001E2F5E">
        <w:rPr>
          <w:rFonts w:ascii="Times New Roman" w:hAnsi="Times New Roman" w:cs="Times New Roman"/>
          <w:color w:val="FF0000"/>
          <w:sz w:val="28"/>
          <w:szCs w:val="28"/>
        </w:rPr>
        <w:t>недопоступлением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в бюджет </w:t>
      </w:r>
      <w:r w:rsidR="001E2F5E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2F5E">
        <w:rPr>
          <w:rFonts w:ascii="Times New Roman" w:hAnsi="Times New Roman" w:cs="Times New Roman"/>
          <w:color w:val="FF0000"/>
          <w:sz w:val="28"/>
          <w:szCs w:val="28"/>
        </w:rPr>
        <w:t>межбюджетных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E2F5E">
        <w:rPr>
          <w:rFonts w:ascii="Times New Roman" w:hAnsi="Times New Roman" w:cs="Times New Roman"/>
          <w:color w:val="FF0000"/>
          <w:sz w:val="28"/>
          <w:szCs w:val="28"/>
        </w:rPr>
        <w:t xml:space="preserve">трансфертов из Республиканского бюджета </w:t>
      </w:r>
      <w:r w:rsidR="00DB1D10">
        <w:rPr>
          <w:rFonts w:ascii="Times New Roman" w:hAnsi="Times New Roman" w:cs="Times New Roman"/>
          <w:color w:val="FF0000"/>
          <w:sz w:val="28"/>
          <w:szCs w:val="28"/>
        </w:rPr>
        <w:t xml:space="preserve">данный объект </w:t>
      </w:r>
      <w:r w:rsidR="00C0018A" w:rsidRPr="00C0018A">
        <w:rPr>
          <w:rFonts w:ascii="Times New Roman" w:hAnsi="Times New Roman" w:cs="Times New Roman"/>
          <w:color w:val="FF0000"/>
          <w:sz w:val="28"/>
          <w:szCs w:val="28"/>
        </w:rPr>
        <w:t xml:space="preserve">не был введен в эксплуатацию.  </w:t>
      </w:r>
    </w:p>
    <w:p w:rsidR="000C5A54" w:rsidRDefault="000C5A54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201 «Культура» </w:t>
      </w:r>
      <w:r w:rsidR="009F3EBB">
        <w:rPr>
          <w:rFonts w:ascii="Times New Roman" w:hAnsi="Times New Roman" w:cs="Times New Roman"/>
          <w:sz w:val="28"/>
          <w:szCs w:val="28"/>
        </w:rPr>
        <w:t>п</w:t>
      </w:r>
      <w:r w:rsidR="00A10874">
        <w:rPr>
          <w:rFonts w:ascii="Times New Roman" w:hAnsi="Times New Roman" w:cs="Times New Roman"/>
          <w:sz w:val="28"/>
          <w:szCs w:val="28"/>
        </w:rPr>
        <w:t>ри прогнозе н</w:t>
      </w:r>
      <w:r w:rsidR="00440792">
        <w:rPr>
          <w:rFonts w:ascii="Times New Roman" w:hAnsi="Times New Roman" w:cs="Times New Roman"/>
          <w:sz w:val="28"/>
          <w:szCs w:val="28"/>
        </w:rPr>
        <w:t>а 2015 года 2 199,2</w:t>
      </w:r>
      <w:r w:rsidR="0011496E">
        <w:rPr>
          <w:rFonts w:ascii="Times New Roman" w:hAnsi="Times New Roman" w:cs="Times New Roman"/>
          <w:sz w:val="28"/>
          <w:szCs w:val="28"/>
        </w:rPr>
        <w:t xml:space="preserve"> тыс. руб. фактические расходы составили </w:t>
      </w:r>
      <w:r w:rsidR="00440792">
        <w:rPr>
          <w:rFonts w:ascii="Times New Roman" w:hAnsi="Times New Roman" w:cs="Times New Roman"/>
          <w:sz w:val="28"/>
          <w:szCs w:val="28"/>
        </w:rPr>
        <w:t>2 040,4</w:t>
      </w:r>
      <w:r w:rsidR="0011496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440792">
        <w:rPr>
          <w:rFonts w:ascii="Times New Roman" w:hAnsi="Times New Roman" w:cs="Times New Roman"/>
          <w:sz w:val="28"/>
          <w:szCs w:val="28"/>
        </w:rPr>
        <w:t xml:space="preserve"> или 92,8</w:t>
      </w:r>
      <w:r w:rsidR="0043333A">
        <w:rPr>
          <w:rFonts w:ascii="Times New Roman" w:hAnsi="Times New Roman" w:cs="Times New Roman"/>
          <w:sz w:val="28"/>
          <w:szCs w:val="28"/>
        </w:rPr>
        <w:t xml:space="preserve"> </w:t>
      </w:r>
      <w:r w:rsidR="00AB3180">
        <w:rPr>
          <w:rFonts w:ascii="Times New Roman" w:hAnsi="Times New Roman" w:cs="Times New Roman"/>
          <w:sz w:val="28"/>
          <w:szCs w:val="28"/>
        </w:rPr>
        <w:t>% исполнения.</w:t>
      </w:r>
      <w:r w:rsidR="0043333A">
        <w:rPr>
          <w:rFonts w:ascii="Times New Roman" w:hAnsi="Times New Roman" w:cs="Times New Roman"/>
          <w:sz w:val="28"/>
          <w:szCs w:val="28"/>
        </w:rPr>
        <w:t xml:space="preserve"> </w:t>
      </w:r>
      <w:r w:rsidR="00572BEE">
        <w:rPr>
          <w:rFonts w:ascii="Times New Roman" w:hAnsi="Times New Roman" w:cs="Times New Roman"/>
          <w:sz w:val="28"/>
          <w:szCs w:val="28"/>
        </w:rPr>
        <w:t xml:space="preserve"> В рамках раздела осуществляется финансирование библиотеки, музея, Дворца культуры и централизованной бухгалтерии.</w:t>
      </w:r>
    </w:p>
    <w:p w:rsidR="002A31D3" w:rsidRDefault="002A31D3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раздела 202 «Наука» было осуществлено финансирование архива на сумму 364,2 тыс. руб., что составило 100,7% исполнение плана. </w:t>
      </w:r>
    </w:p>
    <w:p w:rsidR="00736726" w:rsidRPr="006F27DF" w:rsidRDefault="0011496E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разделу 203 «Здравоохранение» </w:t>
      </w:r>
      <w:r w:rsidR="0034731D">
        <w:rPr>
          <w:rFonts w:ascii="Times New Roman" w:hAnsi="Times New Roman" w:cs="Times New Roman"/>
          <w:sz w:val="28"/>
          <w:szCs w:val="28"/>
        </w:rPr>
        <w:t>финансирование составило</w:t>
      </w:r>
      <w:r w:rsidR="0043333A">
        <w:rPr>
          <w:rFonts w:ascii="Times New Roman" w:hAnsi="Times New Roman" w:cs="Times New Roman"/>
          <w:sz w:val="28"/>
          <w:szCs w:val="28"/>
        </w:rPr>
        <w:t xml:space="preserve"> </w:t>
      </w:r>
      <w:r w:rsidR="00440792">
        <w:rPr>
          <w:rFonts w:ascii="Times New Roman" w:hAnsi="Times New Roman" w:cs="Times New Roman"/>
          <w:sz w:val="28"/>
          <w:szCs w:val="28"/>
        </w:rPr>
        <w:t>20 177,0 тыс. руб. при плане 22 270,3</w:t>
      </w:r>
      <w:r w:rsidR="0034731D">
        <w:rPr>
          <w:rFonts w:ascii="Times New Roman" w:hAnsi="Times New Roman" w:cs="Times New Roman"/>
          <w:sz w:val="28"/>
          <w:szCs w:val="28"/>
        </w:rPr>
        <w:t xml:space="preserve"> тыс. руб., </w:t>
      </w:r>
      <w:r w:rsidR="004657DA">
        <w:rPr>
          <w:rFonts w:ascii="Times New Roman" w:hAnsi="Times New Roman" w:cs="Times New Roman"/>
          <w:sz w:val="28"/>
          <w:szCs w:val="28"/>
        </w:rPr>
        <w:t>утве</w:t>
      </w:r>
      <w:r w:rsidR="0043333A">
        <w:rPr>
          <w:rFonts w:ascii="Times New Roman" w:hAnsi="Times New Roman" w:cs="Times New Roman"/>
          <w:sz w:val="28"/>
          <w:szCs w:val="28"/>
        </w:rPr>
        <w:t>рж</w:t>
      </w:r>
      <w:r w:rsidR="0034731D">
        <w:rPr>
          <w:rFonts w:ascii="Times New Roman" w:hAnsi="Times New Roman" w:cs="Times New Roman"/>
          <w:sz w:val="28"/>
          <w:szCs w:val="28"/>
        </w:rPr>
        <w:t>денные бюджетные назначения исполнены на</w:t>
      </w:r>
      <w:r w:rsidR="00440792">
        <w:rPr>
          <w:rFonts w:ascii="Times New Roman" w:hAnsi="Times New Roman" w:cs="Times New Roman"/>
          <w:sz w:val="28"/>
          <w:szCs w:val="28"/>
        </w:rPr>
        <w:t xml:space="preserve"> 90,6 </w:t>
      </w:r>
      <w:r w:rsidR="004657DA">
        <w:rPr>
          <w:rFonts w:ascii="Times New Roman" w:hAnsi="Times New Roman" w:cs="Times New Roman"/>
          <w:sz w:val="28"/>
          <w:szCs w:val="28"/>
        </w:rPr>
        <w:t>%. Неисполнение плана</w:t>
      </w:r>
      <w:r w:rsidR="00E56766">
        <w:rPr>
          <w:rFonts w:ascii="Times New Roman" w:hAnsi="Times New Roman" w:cs="Times New Roman"/>
          <w:sz w:val="28"/>
          <w:szCs w:val="28"/>
        </w:rPr>
        <w:t xml:space="preserve"> имело место</w:t>
      </w:r>
      <w:r w:rsidR="00BE1E32">
        <w:rPr>
          <w:rFonts w:ascii="Times New Roman" w:hAnsi="Times New Roman" w:cs="Times New Roman"/>
          <w:sz w:val="28"/>
          <w:szCs w:val="28"/>
        </w:rPr>
        <w:t xml:space="preserve"> по ст.1 «Заработная плата»</w:t>
      </w:r>
      <w:r w:rsidR="0043333A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440792">
        <w:rPr>
          <w:rFonts w:ascii="Times New Roman" w:hAnsi="Times New Roman" w:cs="Times New Roman"/>
          <w:sz w:val="28"/>
          <w:szCs w:val="28"/>
        </w:rPr>
        <w:t>1 898,9</w:t>
      </w:r>
      <w:r w:rsidR="00C7302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E1E32">
        <w:rPr>
          <w:rFonts w:ascii="Times New Roman" w:hAnsi="Times New Roman" w:cs="Times New Roman"/>
          <w:sz w:val="28"/>
          <w:szCs w:val="28"/>
        </w:rPr>
        <w:t xml:space="preserve"> и ст.2 «Отчисление во внебюджетные фонды»</w:t>
      </w:r>
      <w:r w:rsidR="004657DA">
        <w:rPr>
          <w:rFonts w:ascii="Times New Roman" w:hAnsi="Times New Roman" w:cs="Times New Roman"/>
          <w:sz w:val="28"/>
          <w:szCs w:val="28"/>
        </w:rPr>
        <w:t xml:space="preserve"> </w:t>
      </w:r>
      <w:r w:rsidR="00440792">
        <w:rPr>
          <w:rFonts w:ascii="Times New Roman" w:hAnsi="Times New Roman" w:cs="Times New Roman"/>
          <w:sz w:val="28"/>
          <w:szCs w:val="28"/>
        </w:rPr>
        <w:t>на сумму 134,1</w:t>
      </w:r>
      <w:r w:rsidR="00C73026">
        <w:rPr>
          <w:rFonts w:ascii="Times New Roman" w:hAnsi="Times New Roman" w:cs="Times New Roman"/>
          <w:sz w:val="28"/>
          <w:szCs w:val="28"/>
        </w:rPr>
        <w:t xml:space="preserve"> тыс. руб. </w:t>
      </w:r>
      <w:r w:rsidR="006F27DF" w:rsidRPr="006F27DF">
        <w:rPr>
          <w:rFonts w:ascii="Times New Roman" w:hAnsi="Times New Roman" w:cs="Times New Roman"/>
          <w:sz w:val="28"/>
          <w:szCs w:val="28"/>
        </w:rPr>
        <w:t xml:space="preserve">Не выплачена разница по оплате труда за 6 месяцев 2016 года в сумме 1 925,6 тыс. руб. </w:t>
      </w:r>
    </w:p>
    <w:p w:rsidR="00345BCF" w:rsidRPr="00736726" w:rsidRDefault="00345BCF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по Комитету по делам молодежи и спорту</w:t>
      </w:r>
      <w:r w:rsidR="001C3DD4">
        <w:rPr>
          <w:rFonts w:ascii="Times New Roman" w:hAnsi="Times New Roman" w:cs="Times New Roman"/>
          <w:sz w:val="28"/>
          <w:szCs w:val="28"/>
        </w:rPr>
        <w:t xml:space="preserve"> составили 4 834,7</w:t>
      </w:r>
      <w:r w:rsidR="005D399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2A5179">
        <w:rPr>
          <w:rFonts w:ascii="Times New Roman" w:hAnsi="Times New Roman" w:cs="Times New Roman"/>
          <w:sz w:val="28"/>
          <w:szCs w:val="28"/>
        </w:rPr>
        <w:t xml:space="preserve">  или</w:t>
      </w:r>
      <w:r w:rsidR="001C3DD4">
        <w:rPr>
          <w:rFonts w:ascii="Times New Roman" w:hAnsi="Times New Roman" w:cs="Times New Roman"/>
          <w:sz w:val="28"/>
          <w:szCs w:val="28"/>
        </w:rPr>
        <w:t xml:space="preserve"> 97,5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="002A5179">
        <w:rPr>
          <w:rFonts w:ascii="Times New Roman" w:hAnsi="Times New Roman" w:cs="Times New Roman"/>
          <w:sz w:val="28"/>
          <w:szCs w:val="28"/>
        </w:rPr>
        <w:t xml:space="preserve"> исполнения,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6726">
        <w:rPr>
          <w:rFonts w:ascii="Times New Roman" w:hAnsi="Times New Roman" w:cs="Times New Roman"/>
          <w:sz w:val="28"/>
          <w:szCs w:val="28"/>
        </w:rPr>
        <w:t xml:space="preserve">в </w:t>
      </w:r>
      <w:r w:rsidR="00960728">
        <w:rPr>
          <w:rFonts w:ascii="Times New Roman" w:hAnsi="Times New Roman" w:cs="Times New Roman"/>
          <w:sz w:val="28"/>
          <w:szCs w:val="28"/>
        </w:rPr>
        <w:t>тоже время имел</w:t>
      </w:r>
      <w:r w:rsidRPr="00736726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BB20CA" w:rsidRPr="00736726">
        <w:rPr>
          <w:rFonts w:ascii="Times New Roman" w:hAnsi="Times New Roman" w:cs="Times New Roman"/>
          <w:sz w:val="28"/>
          <w:szCs w:val="28"/>
        </w:rPr>
        <w:t xml:space="preserve"> перерасход</w:t>
      </w:r>
      <w:r w:rsidRPr="00736726">
        <w:rPr>
          <w:rFonts w:ascii="Times New Roman" w:hAnsi="Times New Roman" w:cs="Times New Roman"/>
          <w:sz w:val="28"/>
          <w:szCs w:val="28"/>
        </w:rPr>
        <w:t>,</w:t>
      </w:r>
      <w:r w:rsidR="00736726" w:rsidRPr="00736726">
        <w:rPr>
          <w:rFonts w:ascii="Times New Roman" w:hAnsi="Times New Roman" w:cs="Times New Roman"/>
          <w:sz w:val="28"/>
          <w:szCs w:val="28"/>
        </w:rPr>
        <w:t xml:space="preserve"> по</w:t>
      </w:r>
      <w:r w:rsidRPr="00736726">
        <w:rPr>
          <w:rFonts w:ascii="Times New Roman" w:hAnsi="Times New Roman" w:cs="Times New Roman"/>
          <w:sz w:val="28"/>
          <w:szCs w:val="28"/>
        </w:rPr>
        <w:t xml:space="preserve"> ст. 18</w:t>
      </w:r>
      <w:r w:rsidR="00BB20CA" w:rsidRPr="00736726">
        <w:rPr>
          <w:rFonts w:ascii="Times New Roman" w:hAnsi="Times New Roman" w:cs="Times New Roman"/>
          <w:sz w:val="28"/>
          <w:szCs w:val="28"/>
        </w:rPr>
        <w:t xml:space="preserve"> «Прочие расходы»</w:t>
      </w:r>
      <w:r w:rsidR="00736726" w:rsidRPr="00736726">
        <w:rPr>
          <w:rFonts w:ascii="Times New Roman" w:hAnsi="Times New Roman" w:cs="Times New Roman"/>
          <w:sz w:val="28"/>
          <w:szCs w:val="28"/>
        </w:rPr>
        <w:t xml:space="preserve"> на 437,5</w:t>
      </w:r>
      <w:r w:rsidRPr="00736726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BB20CA" w:rsidRPr="00736726">
        <w:rPr>
          <w:rFonts w:ascii="Times New Roman" w:hAnsi="Times New Roman" w:cs="Times New Roman"/>
          <w:sz w:val="28"/>
          <w:szCs w:val="28"/>
        </w:rPr>
        <w:t xml:space="preserve"> Перерасход образовался за счет непредвиденных </w:t>
      </w:r>
      <w:r w:rsidR="003B7A8B" w:rsidRPr="00736726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BB20CA" w:rsidRPr="00736726">
        <w:rPr>
          <w:rFonts w:ascii="Times New Roman" w:hAnsi="Times New Roman" w:cs="Times New Roman"/>
          <w:sz w:val="28"/>
          <w:szCs w:val="28"/>
        </w:rPr>
        <w:t>по ремонту</w:t>
      </w:r>
      <w:r w:rsidR="00BE1E32" w:rsidRPr="00736726">
        <w:rPr>
          <w:rFonts w:ascii="Times New Roman" w:hAnsi="Times New Roman" w:cs="Times New Roman"/>
          <w:sz w:val="28"/>
          <w:szCs w:val="28"/>
        </w:rPr>
        <w:t xml:space="preserve"> разде</w:t>
      </w:r>
      <w:r w:rsidR="00C11063" w:rsidRPr="00736726">
        <w:rPr>
          <w:rFonts w:ascii="Times New Roman" w:hAnsi="Times New Roman" w:cs="Times New Roman"/>
          <w:sz w:val="28"/>
          <w:szCs w:val="28"/>
        </w:rPr>
        <w:t xml:space="preserve">валок стадиона, указанные расходы были осуществлены на основании </w:t>
      </w:r>
      <w:r w:rsidR="00C02CF6" w:rsidRPr="00736726">
        <w:rPr>
          <w:rFonts w:ascii="Times New Roman" w:hAnsi="Times New Roman" w:cs="Times New Roman"/>
          <w:sz w:val="28"/>
          <w:szCs w:val="28"/>
        </w:rPr>
        <w:t>решения Собрания</w:t>
      </w:r>
      <w:r w:rsidR="00572B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2BEE">
        <w:rPr>
          <w:rFonts w:ascii="Times New Roman" w:hAnsi="Times New Roman" w:cs="Times New Roman"/>
          <w:sz w:val="28"/>
          <w:szCs w:val="28"/>
        </w:rPr>
        <w:t>Ткурчалского</w:t>
      </w:r>
      <w:proofErr w:type="spellEnd"/>
      <w:r w:rsidR="00572BEE">
        <w:rPr>
          <w:rFonts w:ascii="Times New Roman" w:hAnsi="Times New Roman" w:cs="Times New Roman"/>
          <w:sz w:val="28"/>
          <w:szCs w:val="28"/>
        </w:rPr>
        <w:t xml:space="preserve"> района №5 от 07. 05.2015 г.</w:t>
      </w:r>
      <w:r w:rsidR="00BB20CA" w:rsidRPr="00736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111" w:rsidRDefault="00335111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207 «Соцобеспечение»</w:t>
      </w:r>
      <w:r w:rsidR="0034731D">
        <w:rPr>
          <w:rFonts w:ascii="Times New Roman" w:hAnsi="Times New Roman" w:cs="Times New Roman"/>
          <w:sz w:val="28"/>
          <w:szCs w:val="28"/>
        </w:rPr>
        <w:t xml:space="preserve"> фактическое финансирование</w:t>
      </w:r>
      <w:r w:rsidR="009437B7">
        <w:rPr>
          <w:rFonts w:ascii="Times New Roman" w:hAnsi="Times New Roman" w:cs="Times New Roman"/>
          <w:sz w:val="28"/>
          <w:szCs w:val="28"/>
        </w:rPr>
        <w:t xml:space="preserve"> за рассма</w:t>
      </w:r>
      <w:r w:rsidR="0034731D">
        <w:rPr>
          <w:rFonts w:ascii="Times New Roman" w:hAnsi="Times New Roman" w:cs="Times New Roman"/>
          <w:sz w:val="28"/>
          <w:szCs w:val="28"/>
        </w:rPr>
        <w:t>триваемый период составило</w:t>
      </w:r>
      <w:r w:rsidR="001C3DD4">
        <w:rPr>
          <w:rFonts w:ascii="Times New Roman" w:hAnsi="Times New Roman" w:cs="Times New Roman"/>
          <w:sz w:val="28"/>
          <w:szCs w:val="28"/>
        </w:rPr>
        <w:t xml:space="preserve"> 255,7</w:t>
      </w:r>
      <w:r w:rsidR="009437B7">
        <w:rPr>
          <w:rFonts w:ascii="Times New Roman" w:hAnsi="Times New Roman" w:cs="Times New Roman"/>
          <w:sz w:val="28"/>
          <w:szCs w:val="28"/>
        </w:rPr>
        <w:t xml:space="preserve"> тыс. руб. Утвержденные бюджет</w:t>
      </w:r>
      <w:r w:rsidR="001C3DD4">
        <w:rPr>
          <w:rFonts w:ascii="Times New Roman" w:hAnsi="Times New Roman" w:cs="Times New Roman"/>
          <w:sz w:val="28"/>
          <w:szCs w:val="28"/>
        </w:rPr>
        <w:t>ные назначения исполнены на 99,0</w:t>
      </w:r>
      <w:r w:rsidR="009437B7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45BCF" w:rsidRDefault="0013327A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разделу 214 «</w:t>
      </w:r>
      <w:r w:rsidR="00422082">
        <w:rPr>
          <w:rFonts w:ascii="Times New Roman" w:hAnsi="Times New Roman" w:cs="Times New Roman"/>
          <w:sz w:val="28"/>
          <w:szCs w:val="28"/>
        </w:rPr>
        <w:t>Органы управления</w:t>
      </w:r>
      <w:r w:rsidR="00345BCF">
        <w:rPr>
          <w:rFonts w:ascii="Times New Roman" w:hAnsi="Times New Roman" w:cs="Times New Roman"/>
          <w:sz w:val="28"/>
          <w:szCs w:val="28"/>
        </w:rPr>
        <w:t>» расходы за рассматриваемый период составили</w:t>
      </w:r>
      <w:r w:rsidR="001C3DD4">
        <w:rPr>
          <w:rFonts w:ascii="Times New Roman" w:hAnsi="Times New Roman" w:cs="Times New Roman"/>
          <w:sz w:val="28"/>
          <w:szCs w:val="28"/>
        </w:rPr>
        <w:t xml:space="preserve"> 10 610,4</w:t>
      </w:r>
      <w:r w:rsidR="00345BCF">
        <w:rPr>
          <w:rFonts w:ascii="Times New Roman" w:hAnsi="Times New Roman" w:cs="Times New Roman"/>
          <w:sz w:val="28"/>
          <w:szCs w:val="28"/>
        </w:rPr>
        <w:t xml:space="preserve"> тыс. </w:t>
      </w:r>
      <w:r w:rsidR="00733DB2">
        <w:rPr>
          <w:rFonts w:ascii="Times New Roman" w:hAnsi="Times New Roman" w:cs="Times New Roman"/>
          <w:sz w:val="28"/>
          <w:szCs w:val="28"/>
        </w:rPr>
        <w:t xml:space="preserve">руб., </w:t>
      </w:r>
      <w:r w:rsidR="001C3DD4">
        <w:rPr>
          <w:rFonts w:ascii="Times New Roman" w:hAnsi="Times New Roman" w:cs="Times New Roman"/>
          <w:sz w:val="28"/>
          <w:szCs w:val="28"/>
        </w:rPr>
        <w:t xml:space="preserve">что на 522,7 тыс. руб. </w:t>
      </w:r>
      <w:r w:rsidR="000E1C86">
        <w:rPr>
          <w:rFonts w:ascii="Times New Roman" w:hAnsi="Times New Roman" w:cs="Times New Roman"/>
          <w:sz w:val="28"/>
          <w:szCs w:val="28"/>
        </w:rPr>
        <w:t>меньше запланированной</w:t>
      </w:r>
      <w:r w:rsidR="00733DB2">
        <w:rPr>
          <w:rFonts w:ascii="Times New Roman" w:hAnsi="Times New Roman" w:cs="Times New Roman"/>
          <w:sz w:val="28"/>
          <w:szCs w:val="28"/>
        </w:rPr>
        <w:t xml:space="preserve"> суммы.</w:t>
      </w:r>
      <w:r w:rsidR="003B7A8B">
        <w:rPr>
          <w:rFonts w:ascii="Times New Roman" w:hAnsi="Times New Roman" w:cs="Times New Roman"/>
          <w:sz w:val="28"/>
          <w:szCs w:val="28"/>
        </w:rPr>
        <w:t xml:space="preserve"> Следует отметить, что</w:t>
      </w:r>
      <w:r w:rsidR="00C11063">
        <w:rPr>
          <w:rFonts w:ascii="Times New Roman" w:hAnsi="Times New Roman" w:cs="Times New Roman"/>
          <w:sz w:val="28"/>
          <w:szCs w:val="28"/>
        </w:rPr>
        <w:t xml:space="preserve"> по данному разделу</w:t>
      </w:r>
      <w:r w:rsidR="003B7A8B">
        <w:rPr>
          <w:rFonts w:ascii="Times New Roman" w:hAnsi="Times New Roman" w:cs="Times New Roman"/>
          <w:sz w:val="28"/>
          <w:szCs w:val="28"/>
        </w:rPr>
        <w:t xml:space="preserve"> имело </w:t>
      </w:r>
      <w:r w:rsidR="003B7A8B">
        <w:rPr>
          <w:rFonts w:ascii="Times New Roman" w:hAnsi="Times New Roman" w:cs="Times New Roman"/>
          <w:sz w:val="28"/>
          <w:szCs w:val="28"/>
        </w:rPr>
        <w:lastRenderedPageBreak/>
        <w:t>место нарушение постатейной бюджетной классификации, так</w:t>
      </w:r>
      <w:r w:rsidR="006F4E8F">
        <w:rPr>
          <w:rFonts w:ascii="Times New Roman" w:hAnsi="Times New Roman" w:cs="Times New Roman"/>
          <w:sz w:val="28"/>
          <w:szCs w:val="28"/>
        </w:rPr>
        <w:t xml:space="preserve"> на</w:t>
      </w:r>
      <w:r w:rsidR="003B7A8B">
        <w:rPr>
          <w:rFonts w:ascii="Times New Roman" w:hAnsi="Times New Roman" w:cs="Times New Roman"/>
          <w:sz w:val="28"/>
          <w:szCs w:val="28"/>
        </w:rPr>
        <w:t xml:space="preserve"> ст.3 «Хозяйственные расходы» были отнесены расходы на приобретение служебного</w:t>
      </w:r>
      <w:r w:rsidR="00CE3BBA">
        <w:rPr>
          <w:rFonts w:ascii="Times New Roman" w:hAnsi="Times New Roman" w:cs="Times New Roman"/>
          <w:sz w:val="28"/>
          <w:szCs w:val="28"/>
        </w:rPr>
        <w:t xml:space="preserve"> автомобиля</w:t>
      </w:r>
      <w:r w:rsidR="00CA2DEF">
        <w:rPr>
          <w:rFonts w:ascii="Times New Roman" w:hAnsi="Times New Roman" w:cs="Times New Roman"/>
          <w:sz w:val="28"/>
          <w:szCs w:val="28"/>
        </w:rPr>
        <w:t>,</w:t>
      </w:r>
      <w:r w:rsidR="00CE3BBA">
        <w:rPr>
          <w:rFonts w:ascii="Times New Roman" w:hAnsi="Times New Roman" w:cs="Times New Roman"/>
          <w:sz w:val="28"/>
          <w:szCs w:val="28"/>
        </w:rPr>
        <w:t xml:space="preserve"> которые следовало отнести на ст.12 «Приобретение оборудования и инвентаря».</w:t>
      </w:r>
      <w:r w:rsidR="003B7A8B">
        <w:rPr>
          <w:rFonts w:ascii="Times New Roman" w:hAnsi="Times New Roman" w:cs="Times New Roman"/>
          <w:sz w:val="28"/>
          <w:szCs w:val="28"/>
        </w:rPr>
        <w:t xml:space="preserve"> </w:t>
      </w:r>
      <w:r w:rsidR="00D16A52">
        <w:rPr>
          <w:rFonts w:ascii="Times New Roman" w:hAnsi="Times New Roman" w:cs="Times New Roman"/>
          <w:sz w:val="28"/>
          <w:szCs w:val="28"/>
        </w:rPr>
        <w:t>Расходы по приобретению служебного автомобиля не</w:t>
      </w:r>
      <w:r w:rsidR="00CA2DEF">
        <w:rPr>
          <w:rFonts w:ascii="Times New Roman" w:hAnsi="Times New Roman" w:cs="Times New Roman"/>
          <w:sz w:val="28"/>
          <w:szCs w:val="28"/>
        </w:rPr>
        <w:t xml:space="preserve"> </w:t>
      </w:r>
      <w:r w:rsidR="00D16A52">
        <w:rPr>
          <w:rFonts w:ascii="Times New Roman" w:hAnsi="Times New Roman" w:cs="Times New Roman"/>
          <w:sz w:val="28"/>
          <w:szCs w:val="28"/>
        </w:rPr>
        <w:t xml:space="preserve">были запланированы в бюджете района за 2015г. и осуществлены на основании решения Собрания </w:t>
      </w:r>
      <w:proofErr w:type="spellStart"/>
      <w:r w:rsidR="00D16A52">
        <w:rPr>
          <w:rFonts w:ascii="Times New Roman" w:hAnsi="Times New Roman" w:cs="Times New Roman"/>
          <w:sz w:val="28"/>
          <w:szCs w:val="28"/>
        </w:rPr>
        <w:t>Ткуарчал</w:t>
      </w:r>
      <w:r w:rsidR="001F44B2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F44B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37BA8">
        <w:rPr>
          <w:rFonts w:ascii="Times New Roman" w:hAnsi="Times New Roman" w:cs="Times New Roman"/>
          <w:sz w:val="28"/>
          <w:szCs w:val="28"/>
        </w:rPr>
        <w:t xml:space="preserve"> №3 от 24. 02.</w:t>
      </w:r>
      <w:r w:rsidR="00572BEE">
        <w:rPr>
          <w:rFonts w:ascii="Times New Roman" w:hAnsi="Times New Roman" w:cs="Times New Roman"/>
          <w:sz w:val="28"/>
          <w:szCs w:val="28"/>
        </w:rPr>
        <w:t xml:space="preserve"> 2015 г.</w:t>
      </w:r>
      <w:r w:rsidR="001F44B2">
        <w:rPr>
          <w:rFonts w:ascii="Times New Roman" w:hAnsi="Times New Roman" w:cs="Times New Roman"/>
          <w:sz w:val="28"/>
          <w:szCs w:val="28"/>
        </w:rPr>
        <w:t>, однако</w:t>
      </w:r>
      <w:r w:rsidR="000A6437">
        <w:rPr>
          <w:rFonts w:ascii="Times New Roman" w:hAnsi="Times New Roman" w:cs="Times New Roman"/>
          <w:sz w:val="28"/>
          <w:szCs w:val="28"/>
        </w:rPr>
        <w:t>,</w:t>
      </w:r>
      <w:r w:rsidR="001F44B2">
        <w:rPr>
          <w:rFonts w:ascii="Times New Roman" w:hAnsi="Times New Roman" w:cs="Times New Roman"/>
          <w:sz w:val="28"/>
          <w:szCs w:val="28"/>
        </w:rPr>
        <w:t xml:space="preserve"> в решении</w:t>
      </w:r>
      <w:r w:rsidR="00D16A52">
        <w:rPr>
          <w:rFonts w:ascii="Times New Roman" w:hAnsi="Times New Roman" w:cs="Times New Roman"/>
          <w:sz w:val="28"/>
          <w:szCs w:val="28"/>
        </w:rPr>
        <w:t xml:space="preserve"> не</w:t>
      </w:r>
      <w:r w:rsidR="001F44B2">
        <w:rPr>
          <w:rFonts w:ascii="Times New Roman" w:hAnsi="Times New Roman" w:cs="Times New Roman"/>
          <w:sz w:val="28"/>
          <w:szCs w:val="28"/>
        </w:rPr>
        <w:t xml:space="preserve"> был указан источник финансирования расходов.  </w:t>
      </w:r>
      <w:r w:rsidR="00D16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C4E" w:rsidRDefault="00FD5798" w:rsidP="00FE1C4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0823">
        <w:rPr>
          <w:rFonts w:ascii="Times New Roman" w:hAnsi="Times New Roman" w:cs="Times New Roman"/>
          <w:sz w:val="28"/>
          <w:szCs w:val="28"/>
        </w:rPr>
        <w:t>Расхо</w:t>
      </w:r>
      <w:r>
        <w:rPr>
          <w:rFonts w:ascii="Times New Roman" w:hAnsi="Times New Roman" w:cs="Times New Roman"/>
          <w:sz w:val="28"/>
          <w:szCs w:val="28"/>
        </w:rPr>
        <w:t xml:space="preserve">ды по </w:t>
      </w:r>
      <w:r w:rsidR="002876E6">
        <w:rPr>
          <w:rFonts w:ascii="Times New Roman" w:hAnsi="Times New Roman" w:cs="Times New Roman"/>
          <w:sz w:val="28"/>
          <w:szCs w:val="28"/>
        </w:rPr>
        <w:t>разделу 216 «Резервный фонд»</w:t>
      </w:r>
      <w:r w:rsidR="001C3DD4">
        <w:rPr>
          <w:rFonts w:ascii="Times New Roman" w:hAnsi="Times New Roman" w:cs="Times New Roman"/>
          <w:sz w:val="28"/>
          <w:szCs w:val="28"/>
        </w:rPr>
        <w:t xml:space="preserve"> при плане 2 000,0</w:t>
      </w:r>
      <w:r>
        <w:rPr>
          <w:rFonts w:ascii="Times New Roman" w:hAnsi="Times New Roman" w:cs="Times New Roman"/>
          <w:sz w:val="28"/>
          <w:szCs w:val="28"/>
        </w:rPr>
        <w:t xml:space="preserve"> тыс. руб.  составили</w:t>
      </w:r>
      <w:r w:rsidR="00B30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3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5 974,6 </w:t>
      </w:r>
      <w:r w:rsidR="008E6B77">
        <w:rPr>
          <w:rFonts w:ascii="Times New Roman" w:hAnsi="Times New Roman" w:cs="Times New Roman"/>
          <w:sz w:val="28"/>
          <w:szCs w:val="28"/>
        </w:rPr>
        <w:t>тыс.</w:t>
      </w:r>
      <w:r w:rsidR="00B30823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уб.</w:t>
      </w:r>
      <w:r w:rsidR="00D219F1">
        <w:rPr>
          <w:rFonts w:ascii="Times New Roman" w:hAnsi="Times New Roman" w:cs="Times New Roman"/>
          <w:sz w:val="28"/>
          <w:szCs w:val="28"/>
        </w:rPr>
        <w:t xml:space="preserve"> Сверх предусмотренного плана </w:t>
      </w:r>
      <w:r w:rsidR="00FE1C4E">
        <w:rPr>
          <w:rFonts w:ascii="Times New Roman" w:hAnsi="Times New Roman" w:cs="Times New Roman"/>
          <w:sz w:val="28"/>
          <w:szCs w:val="28"/>
        </w:rPr>
        <w:t xml:space="preserve">средства резервного фонда были израсходованы на сумма </w:t>
      </w:r>
      <w:r w:rsidR="001C3DD4">
        <w:rPr>
          <w:rFonts w:ascii="Times New Roman" w:hAnsi="Times New Roman" w:cs="Times New Roman"/>
          <w:sz w:val="28"/>
          <w:szCs w:val="28"/>
        </w:rPr>
        <w:t xml:space="preserve">3 974,6 </w:t>
      </w:r>
      <w:r w:rsidR="00334728">
        <w:rPr>
          <w:rFonts w:ascii="Times New Roman" w:hAnsi="Times New Roman" w:cs="Times New Roman"/>
          <w:sz w:val="28"/>
          <w:szCs w:val="28"/>
        </w:rPr>
        <w:t>тыс. ру</w:t>
      </w:r>
      <w:r w:rsidR="00FE1C4E">
        <w:rPr>
          <w:rFonts w:ascii="Times New Roman" w:hAnsi="Times New Roman" w:cs="Times New Roman"/>
          <w:sz w:val="28"/>
          <w:szCs w:val="28"/>
        </w:rPr>
        <w:t>б. Из них за счет средств</w:t>
      </w:r>
      <w:r w:rsidR="00FE1C4E" w:rsidRPr="007D49D1">
        <w:rPr>
          <w:rFonts w:ascii="Times New Roman" w:hAnsi="Times New Roman" w:cs="Times New Roman"/>
          <w:sz w:val="28"/>
          <w:szCs w:val="28"/>
        </w:rPr>
        <w:t xml:space="preserve"> Резервного фонда Президента в сумме 2 060</w:t>
      </w:r>
      <w:r w:rsidR="00FE1C4E">
        <w:rPr>
          <w:rFonts w:ascii="Times New Roman" w:hAnsi="Times New Roman" w:cs="Times New Roman"/>
          <w:sz w:val="28"/>
          <w:szCs w:val="28"/>
        </w:rPr>
        <w:t>,0тыс. руб.</w:t>
      </w:r>
    </w:p>
    <w:p w:rsidR="004B7358" w:rsidRDefault="007374B3" w:rsidP="004B7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решениям</w:t>
      </w:r>
      <w:r w:rsidR="00FE1C4E">
        <w:rPr>
          <w:rFonts w:ascii="Times New Roman" w:hAnsi="Times New Roman" w:cs="Times New Roman"/>
          <w:sz w:val="28"/>
          <w:szCs w:val="28"/>
        </w:rPr>
        <w:t xml:space="preserve"> Собрания</w:t>
      </w:r>
      <w:r w:rsidR="004B7358">
        <w:rPr>
          <w:rFonts w:ascii="Times New Roman" w:hAnsi="Times New Roman" w:cs="Times New Roman"/>
          <w:sz w:val="28"/>
          <w:szCs w:val="28"/>
        </w:rPr>
        <w:t xml:space="preserve"> было направлено на </w:t>
      </w:r>
      <w:r w:rsidR="004B7358" w:rsidRPr="008F6161">
        <w:rPr>
          <w:rFonts w:ascii="Times New Roman" w:hAnsi="Times New Roman" w:cs="Times New Roman"/>
          <w:sz w:val="28"/>
          <w:szCs w:val="28"/>
        </w:rPr>
        <w:t>изготовление кованной ограды на пл. В.Г.</w:t>
      </w:r>
      <w:r w:rsidR="004B7358">
        <w:rPr>
          <w:rFonts w:ascii="Times New Roman" w:hAnsi="Times New Roman" w:cs="Times New Roman"/>
          <w:sz w:val="28"/>
          <w:szCs w:val="28"/>
        </w:rPr>
        <w:t xml:space="preserve"> Ардзинба – 711,6 тыс. руб. и на </w:t>
      </w:r>
      <w:r w:rsidR="003F3757" w:rsidRPr="008F6161">
        <w:rPr>
          <w:rFonts w:ascii="Times New Roman" w:hAnsi="Times New Roman" w:cs="Times New Roman"/>
          <w:sz w:val="28"/>
          <w:szCs w:val="28"/>
        </w:rPr>
        <w:t xml:space="preserve">благотворительный взнос на </w:t>
      </w:r>
      <w:r w:rsidR="001F7FAD" w:rsidRPr="008F6161">
        <w:rPr>
          <w:rFonts w:ascii="Times New Roman" w:hAnsi="Times New Roman" w:cs="Times New Roman"/>
          <w:sz w:val="28"/>
          <w:szCs w:val="28"/>
        </w:rPr>
        <w:t>строительство храма – 100,0 тыс</w:t>
      </w:r>
      <w:r w:rsidR="00BF269B" w:rsidRPr="008F6161">
        <w:rPr>
          <w:rFonts w:ascii="Times New Roman" w:hAnsi="Times New Roman" w:cs="Times New Roman"/>
          <w:sz w:val="28"/>
          <w:szCs w:val="28"/>
        </w:rPr>
        <w:t>.</w:t>
      </w:r>
      <w:r w:rsidR="004B735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CE28DA" w:rsidRPr="007D49D1" w:rsidRDefault="00CE28DA" w:rsidP="004B735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средства резервного фонда сверх предусмотренного пла</w:t>
      </w:r>
      <w:r w:rsidR="00DC1EBB">
        <w:rPr>
          <w:rFonts w:ascii="Times New Roman" w:hAnsi="Times New Roman" w:cs="Times New Roman"/>
          <w:sz w:val="28"/>
          <w:szCs w:val="28"/>
        </w:rPr>
        <w:t>на без внесения соответствующих изменений в бюджет были израсходованы в сумме</w:t>
      </w:r>
      <w:r>
        <w:rPr>
          <w:rFonts w:ascii="Times New Roman" w:hAnsi="Times New Roman" w:cs="Times New Roman"/>
          <w:sz w:val="28"/>
          <w:szCs w:val="28"/>
        </w:rPr>
        <w:t xml:space="preserve"> 1 103,0 тыс. руб.</w:t>
      </w:r>
      <w:r w:rsidR="00B940AB">
        <w:rPr>
          <w:rFonts w:ascii="Times New Roman" w:hAnsi="Times New Roman" w:cs="Times New Roman"/>
          <w:sz w:val="28"/>
          <w:szCs w:val="28"/>
        </w:rPr>
        <w:t xml:space="preserve">, </w:t>
      </w:r>
      <w:r w:rsidR="00B940AB" w:rsidRPr="00572BEE">
        <w:rPr>
          <w:rFonts w:ascii="Times New Roman" w:hAnsi="Times New Roman" w:cs="Times New Roman"/>
          <w:sz w:val="28"/>
          <w:szCs w:val="28"/>
        </w:rPr>
        <w:t>указанную сумму бюджетных средств можно квалифицировать как нецелевое использование.</w:t>
      </w:r>
      <w:r w:rsidR="00B940AB" w:rsidRPr="00D43F4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35866" w:rsidRDefault="00351B86" w:rsidP="007B27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8B0">
        <w:rPr>
          <w:rFonts w:ascii="Times New Roman" w:hAnsi="Times New Roman" w:cs="Times New Roman"/>
          <w:sz w:val="28"/>
          <w:szCs w:val="28"/>
        </w:rPr>
        <w:t xml:space="preserve">Анализируя структуру произведенных в отчетном периоде расходов бюджета </w:t>
      </w:r>
      <w:proofErr w:type="spellStart"/>
      <w:r w:rsidRPr="007E78B0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Pr="007E78B0">
        <w:rPr>
          <w:rFonts w:ascii="Times New Roman" w:hAnsi="Times New Roman" w:cs="Times New Roman"/>
          <w:sz w:val="28"/>
          <w:szCs w:val="28"/>
        </w:rPr>
        <w:t xml:space="preserve"> района можно отметить, что наибольший удельный вес приходится на расход</w:t>
      </w:r>
      <w:r w:rsidR="001C3DD4">
        <w:rPr>
          <w:rFonts w:ascii="Times New Roman" w:hAnsi="Times New Roman" w:cs="Times New Roman"/>
          <w:sz w:val="28"/>
          <w:szCs w:val="28"/>
        </w:rPr>
        <w:t xml:space="preserve">ы по разделам «Образование» 57,5%, «Здравоохранение» 16,1 </w:t>
      </w:r>
      <w:r w:rsidRPr="007E78B0">
        <w:rPr>
          <w:rFonts w:ascii="Times New Roman" w:hAnsi="Times New Roman" w:cs="Times New Roman"/>
          <w:sz w:val="28"/>
          <w:szCs w:val="28"/>
        </w:rPr>
        <w:t>%, «Органы гос. уп</w:t>
      </w:r>
      <w:r w:rsidR="001C3DD4">
        <w:rPr>
          <w:rFonts w:ascii="Times New Roman" w:hAnsi="Times New Roman" w:cs="Times New Roman"/>
          <w:sz w:val="28"/>
          <w:szCs w:val="28"/>
        </w:rPr>
        <w:t>равления» 8</w:t>
      </w:r>
      <w:r w:rsidR="006E73C3">
        <w:rPr>
          <w:rFonts w:ascii="Times New Roman" w:hAnsi="Times New Roman" w:cs="Times New Roman"/>
          <w:sz w:val="28"/>
          <w:szCs w:val="28"/>
        </w:rPr>
        <w:t>,5</w:t>
      </w:r>
      <w:r w:rsidR="001C3DD4">
        <w:rPr>
          <w:rFonts w:ascii="Times New Roman" w:hAnsi="Times New Roman" w:cs="Times New Roman"/>
          <w:sz w:val="28"/>
          <w:szCs w:val="28"/>
        </w:rPr>
        <w:t xml:space="preserve"> %, «Народное хозяйство» 7,1%.</w:t>
      </w:r>
    </w:p>
    <w:p w:rsidR="006E73C3" w:rsidRDefault="002D5614" w:rsidP="008D7A4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проведенного анализа отчета об исполнении бюджета </w:t>
      </w:r>
      <w:proofErr w:type="spellStart"/>
      <w:r w:rsidR="00871BF7">
        <w:rPr>
          <w:rFonts w:ascii="Times New Roman" w:hAnsi="Times New Roman" w:cs="Times New Roman"/>
          <w:sz w:val="28"/>
          <w:szCs w:val="28"/>
        </w:rPr>
        <w:t>Т</w:t>
      </w:r>
      <w:r w:rsidR="001C3DD4">
        <w:rPr>
          <w:rFonts w:ascii="Times New Roman" w:hAnsi="Times New Roman" w:cs="Times New Roman"/>
          <w:sz w:val="28"/>
          <w:szCs w:val="28"/>
        </w:rPr>
        <w:t>куарчалского</w:t>
      </w:r>
      <w:proofErr w:type="spellEnd"/>
      <w:r w:rsidR="001C3DD4">
        <w:rPr>
          <w:rFonts w:ascii="Times New Roman" w:hAnsi="Times New Roman" w:cs="Times New Roman"/>
          <w:sz w:val="28"/>
          <w:szCs w:val="28"/>
        </w:rPr>
        <w:t xml:space="preserve"> района за 2015</w:t>
      </w:r>
      <w:r w:rsidR="004367CF">
        <w:rPr>
          <w:rFonts w:ascii="Times New Roman" w:hAnsi="Times New Roman" w:cs="Times New Roman"/>
          <w:sz w:val="28"/>
          <w:szCs w:val="28"/>
        </w:rPr>
        <w:t xml:space="preserve"> г. можно сделать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10E22" w:rsidRDefault="008D7A4B" w:rsidP="007E4D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771E">
        <w:rPr>
          <w:rFonts w:ascii="Times New Roman" w:hAnsi="Times New Roman" w:cs="Times New Roman"/>
          <w:sz w:val="28"/>
          <w:szCs w:val="28"/>
        </w:rPr>
        <w:t>.</w:t>
      </w:r>
      <w:r w:rsidR="00AF0831">
        <w:rPr>
          <w:rFonts w:ascii="Times New Roman" w:hAnsi="Times New Roman" w:cs="Times New Roman"/>
          <w:sz w:val="28"/>
          <w:szCs w:val="28"/>
        </w:rPr>
        <w:t xml:space="preserve">Необходимо отметить, что </w:t>
      </w:r>
      <w:r w:rsidR="00250B73">
        <w:rPr>
          <w:rFonts w:ascii="Times New Roman" w:hAnsi="Times New Roman" w:cs="Times New Roman"/>
          <w:sz w:val="28"/>
          <w:szCs w:val="28"/>
        </w:rPr>
        <w:t xml:space="preserve">поступавшие </w:t>
      </w:r>
      <w:r w:rsidR="00AF0831">
        <w:rPr>
          <w:rFonts w:ascii="Times New Roman" w:hAnsi="Times New Roman" w:cs="Times New Roman"/>
          <w:sz w:val="28"/>
          <w:szCs w:val="28"/>
        </w:rPr>
        <w:t>в К</w:t>
      </w:r>
      <w:r w:rsidR="00371D53">
        <w:rPr>
          <w:rFonts w:ascii="Times New Roman" w:hAnsi="Times New Roman" w:cs="Times New Roman"/>
          <w:sz w:val="28"/>
          <w:szCs w:val="28"/>
        </w:rPr>
        <w:t>онтрольную палату Республики Абхазия</w:t>
      </w:r>
      <w:r w:rsidR="00250B73">
        <w:rPr>
          <w:rFonts w:ascii="Times New Roman" w:hAnsi="Times New Roman" w:cs="Times New Roman"/>
          <w:sz w:val="28"/>
          <w:szCs w:val="28"/>
        </w:rPr>
        <w:t>,</w:t>
      </w:r>
      <w:r w:rsidR="00371D53">
        <w:rPr>
          <w:rFonts w:ascii="Times New Roman" w:hAnsi="Times New Roman" w:cs="Times New Roman"/>
          <w:sz w:val="28"/>
          <w:szCs w:val="28"/>
        </w:rPr>
        <w:t xml:space="preserve"> </w:t>
      </w:r>
      <w:r w:rsidR="00AF0831">
        <w:rPr>
          <w:rFonts w:ascii="Times New Roman" w:hAnsi="Times New Roman" w:cs="Times New Roman"/>
          <w:sz w:val="28"/>
          <w:szCs w:val="28"/>
        </w:rPr>
        <w:t xml:space="preserve"> </w:t>
      </w:r>
      <w:r w:rsidR="00AF0831" w:rsidRPr="00AF0831">
        <w:rPr>
          <w:rFonts w:ascii="Times New Roman" w:hAnsi="Times New Roman" w:cs="Times New Roman"/>
          <w:sz w:val="28"/>
          <w:szCs w:val="28"/>
        </w:rPr>
        <w:t xml:space="preserve">решение Собрания </w:t>
      </w:r>
      <w:proofErr w:type="spellStart"/>
      <w:r w:rsidR="00AF0831" w:rsidRPr="00AF0831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AF0831" w:rsidRPr="00AF0831">
        <w:rPr>
          <w:rFonts w:ascii="Times New Roman" w:hAnsi="Times New Roman" w:cs="Times New Roman"/>
          <w:sz w:val="28"/>
          <w:szCs w:val="28"/>
        </w:rPr>
        <w:t xml:space="preserve"> района «О бюджете </w:t>
      </w:r>
      <w:proofErr w:type="spellStart"/>
      <w:r w:rsidR="00AF0831" w:rsidRPr="00AF0831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AF0831" w:rsidRPr="00AF0831">
        <w:rPr>
          <w:rFonts w:ascii="Times New Roman" w:hAnsi="Times New Roman" w:cs="Times New Roman"/>
          <w:sz w:val="28"/>
          <w:szCs w:val="28"/>
        </w:rPr>
        <w:t xml:space="preserve"> района на 2015 год», </w:t>
      </w:r>
      <w:r w:rsidR="00AF0831">
        <w:rPr>
          <w:rFonts w:ascii="Times New Roman" w:hAnsi="Times New Roman" w:cs="Times New Roman"/>
          <w:sz w:val="28"/>
          <w:szCs w:val="28"/>
        </w:rPr>
        <w:t xml:space="preserve">отчеты об исполнении бюджета </w:t>
      </w:r>
      <w:proofErr w:type="spellStart"/>
      <w:r w:rsidR="00AF0831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AF0831">
        <w:rPr>
          <w:rFonts w:ascii="Times New Roman" w:hAnsi="Times New Roman" w:cs="Times New Roman"/>
          <w:sz w:val="28"/>
          <w:szCs w:val="28"/>
        </w:rPr>
        <w:t xml:space="preserve"> района за соответствующи</w:t>
      </w:r>
      <w:r w:rsidR="00250B73">
        <w:rPr>
          <w:rFonts w:ascii="Times New Roman" w:hAnsi="Times New Roman" w:cs="Times New Roman"/>
          <w:sz w:val="28"/>
          <w:szCs w:val="28"/>
        </w:rPr>
        <w:t>е</w:t>
      </w:r>
      <w:r w:rsidR="00AF0831">
        <w:rPr>
          <w:rFonts w:ascii="Times New Roman" w:hAnsi="Times New Roman" w:cs="Times New Roman"/>
          <w:sz w:val="28"/>
          <w:szCs w:val="28"/>
        </w:rPr>
        <w:t xml:space="preserve"> периоды</w:t>
      </w:r>
      <w:r w:rsidR="00250B73">
        <w:rPr>
          <w:rFonts w:ascii="Times New Roman" w:hAnsi="Times New Roman" w:cs="Times New Roman"/>
          <w:sz w:val="28"/>
          <w:szCs w:val="28"/>
        </w:rPr>
        <w:t>,</w:t>
      </w:r>
      <w:r w:rsidR="00AF0831">
        <w:rPr>
          <w:rFonts w:ascii="Times New Roman" w:hAnsi="Times New Roman" w:cs="Times New Roman"/>
          <w:sz w:val="28"/>
          <w:szCs w:val="28"/>
        </w:rPr>
        <w:t xml:space="preserve"> в том числе отчет</w:t>
      </w:r>
      <w:r w:rsidR="00A10E22" w:rsidRPr="001F771E">
        <w:rPr>
          <w:rFonts w:ascii="Times New Roman" w:hAnsi="Times New Roman" w:cs="Times New Roman"/>
          <w:sz w:val="28"/>
          <w:szCs w:val="28"/>
        </w:rPr>
        <w:t xml:space="preserve"> об </w:t>
      </w:r>
      <w:r w:rsidR="00A10E22" w:rsidRPr="001F771E">
        <w:rPr>
          <w:rFonts w:ascii="Times New Roman" w:hAnsi="Times New Roman" w:cs="Times New Roman"/>
          <w:sz w:val="28"/>
          <w:szCs w:val="28"/>
        </w:rPr>
        <w:lastRenderedPageBreak/>
        <w:t>исполнении б</w:t>
      </w:r>
      <w:r w:rsidR="00AF0831">
        <w:rPr>
          <w:rFonts w:ascii="Times New Roman" w:hAnsi="Times New Roman" w:cs="Times New Roman"/>
          <w:sz w:val="28"/>
          <w:szCs w:val="28"/>
        </w:rPr>
        <w:t xml:space="preserve">юджета </w:t>
      </w:r>
      <w:proofErr w:type="spellStart"/>
      <w:r w:rsidR="00AF0831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AF0831">
        <w:rPr>
          <w:rFonts w:ascii="Times New Roman" w:hAnsi="Times New Roman" w:cs="Times New Roman"/>
          <w:sz w:val="28"/>
          <w:szCs w:val="28"/>
        </w:rPr>
        <w:t xml:space="preserve"> района за </w:t>
      </w:r>
      <w:r w:rsidR="00371D53">
        <w:rPr>
          <w:rFonts w:ascii="Times New Roman" w:hAnsi="Times New Roman" w:cs="Times New Roman"/>
          <w:sz w:val="28"/>
          <w:szCs w:val="28"/>
        </w:rPr>
        <w:t>2015</w:t>
      </w:r>
      <w:r w:rsidR="00250B73">
        <w:rPr>
          <w:rFonts w:ascii="Times New Roman" w:hAnsi="Times New Roman" w:cs="Times New Roman"/>
          <w:sz w:val="28"/>
          <w:szCs w:val="28"/>
        </w:rPr>
        <w:t xml:space="preserve"> год</w:t>
      </w:r>
      <w:r w:rsidR="000A6437">
        <w:rPr>
          <w:rFonts w:ascii="Times New Roman" w:hAnsi="Times New Roman" w:cs="Times New Roman"/>
          <w:sz w:val="28"/>
          <w:szCs w:val="28"/>
        </w:rPr>
        <w:t>а</w:t>
      </w:r>
      <w:r w:rsidR="00250B73">
        <w:rPr>
          <w:rFonts w:ascii="Times New Roman" w:hAnsi="Times New Roman" w:cs="Times New Roman"/>
          <w:sz w:val="28"/>
          <w:szCs w:val="28"/>
        </w:rPr>
        <w:t>,</w:t>
      </w:r>
      <w:r w:rsidR="00371D53">
        <w:rPr>
          <w:rFonts w:ascii="Times New Roman" w:hAnsi="Times New Roman" w:cs="Times New Roman"/>
          <w:sz w:val="28"/>
          <w:szCs w:val="28"/>
        </w:rPr>
        <w:t xml:space="preserve"> не соответствую</w:t>
      </w:r>
      <w:r w:rsidR="00250B73">
        <w:rPr>
          <w:rFonts w:ascii="Times New Roman" w:hAnsi="Times New Roman" w:cs="Times New Roman"/>
          <w:sz w:val="28"/>
          <w:szCs w:val="28"/>
        </w:rPr>
        <w:t>т</w:t>
      </w:r>
      <w:r w:rsidR="00D106B6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422082">
        <w:rPr>
          <w:rFonts w:ascii="Times New Roman" w:hAnsi="Times New Roman" w:cs="Times New Roman"/>
          <w:sz w:val="28"/>
          <w:szCs w:val="28"/>
        </w:rPr>
        <w:t>Закона Республики Абхазия</w:t>
      </w:r>
      <w:r w:rsidR="000A6437">
        <w:rPr>
          <w:rFonts w:ascii="Times New Roman" w:hAnsi="Times New Roman" w:cs="Times New Roman"/>
          <w:sz w:val="28"/>
          <w:szCs w:val="28"/>
        </w:rPr>
        <w:t xml:space="preserve"> «О бюджетной классификации Республики Абхазия</w:t>
      </w:r>
      <w:r w:rsidR="00AF0831">
        <w:rPr>
          <w:rFonts w:ascii="Times New Roman" w:hAnsi="Times New Roman" w:cs="Times New Roman"/>
          <w:sz w:val="28"/>
          <w:szCs w:val="28"/>
        </w:rPr>
        <w:t>», при этом Контрольной палатой в целях реализации</w:t>
      </w:r>
      <w:r w:rsidR="00371D53">
        <w:rPr>
          <w:rFonts w:ascii="Times New Roman" w:hAnsi="Times New Roman" w:cs="Times New Roman"/>
          <w:sz w:val="28"/>
          <w:szCs w:val="28"/>
        </w:rPr>
        <w:t xml:space="preserve"> задач отраженных п.1 ч.1 ст.2 Закона Республики Абхазия </w:t>
      </w:r>
      <w:r>
        <w:rPr>
          <w:rFonts w:ascii="Times New Roman" w:hAnsi="Times New Roman" w:cs="Times New Roman"/>
          <w:sz w:val="28"/>
          <w:szCs w:val="28"/>
        </w:rPr>
        <w:t>от 5 ноября 2010г. № 2749-с-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D7A4B">
        <w:rPr>
          <w:rFonts w:ascii="Times New Roman" w:hAnsi="Times New Roman" w:cs="Times New Roman"/>
          <w:sz w:val="28"/>
          <w:szCs w:val="28"/>
        </w:rPr>
        <w:t xml:space="preserve"> </w:t>
      </w:r>
      <w:r w:rsidR="00371D53">
        <w:rPr>
          <w:rFonts w:ascii="Times New Roman" w:hAnsi="Times New Roman" w:cs="Times New Roman"/>
          <w:sz w:val="28"/>
          <w:szCs w:val="28"/>
        </w:rPr>
        <w:t>«О Контрольной палате Республики Абхазия» была проведена внешняя проверка представленных</w:t>
      </w:r>
      <w:r>
        <w:rPr>
          <w:rFonts w:ascii="Times New Roman" w:hAnsi="Times New Roman" w:cs="Times New Roman"/>
          <w:sz w:val="28"/>
          <w:szCs w:val="28"/>
        </w:rPr>
        <w:t xml:space="preserve"> материалов;</w:t>
      </w:r>
    </w:p>
    <w:p w:rsidR="00B945FE" w:rsidRPr="00CD5D9B" w:rsidRDefault="00B945FE" w:rsidP="007E4D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1F16">
        <w:rPr>
          <w:rFonts w:ascii="Times New Roman" w:hAnsi="Times New Roman" w:cs="Times New Roman"/>
          <w:i/>
          <w:sz w:val="28"/>
          <w:szCs w:val="28"/>
        </w:rPr>
        <w:t>2.</w:t>
      </w:r>
      <w:r w:rsidR="00830A37" w:rsidRPr="00431F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30A37" w:rsidRPr="00CD5D9B">
        <w:rPr>
          <w:rFonts w:ascii="Times New Roman" w:hAnsi="Times New Roman" w:cs="Times New Roman"/>
          <w:sz w:val="28"/>
          <w:szCs w:val="28"/>
        </w:rPr>
        <w:t>В общей структуре доходов бюджета района у</w:t>
      </w:r>
      <w:r w:rsidRPr="00CD5D9B">
        <w:rPr>
          <w:rFonts w:ascii="Times New Roman" w:hAnsi="Times New Roman" w:cs="Times New Roman"/>
          <w:sz w:val="28"/>
          <w:szCs w:val="28"/>
        </w:rPr>
        <w:t xml:space="preserve">дельный вес межбюджетных трансфертов составляет </w:t>
      </w:r>
      <w:r w:rsidR="00830A37" w:rsidRPr="00CD5D9B">
        <w:rPr>
          <w:rFonts w:ascii="Times New Roman" w:hAnsi="Times New Roman" w:cs="Times New Roman"/>
          <w:sz w:val="28"/>
          <w:szCs w:val="28"/>
        </w:rPr>
        <w:t>63,1%, собственных доходов 36,9%, что свидетельствует о высокой финансо</w:t>
      </w:r>
      <w:r w:rsidR="00CD5D9B" w:rsidRPr="00CD5D9B">
        <w:rPr>
          <w:rFonts w:ascii="Times New Roman" w:hAnsi="Times New Roman" w:cs="Times New Roman"/>
          <w:sz w:val="28"/>
          <w:szCs w:val="28"/>
        </w:rPr>
        <w:t>вой зависимости бюджета района от</w:t>
      </w:r>
      <w:r w:rsidR="00337FD3">
        <w:rPr>
          <w:rFonts w:ascii="Times New Roman" w:hAnsi="Times New Roman" w:cs="Times New Roman"/>
          <w:sz w:val="28"/>
          <w:szCs w:val="28"/>
        </w:rPr>
        <w:t xml:space="preserve"> внешних поступлений;</w:t>
      </w:r>
    </w:p>
    <w:p w:rsidR="001F771E" w:rsidRPr="00960423" w:rsidRDefault="00830A37" w:rsidP="007E4D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771E" w:rsidRPr="00960423">
        <w:rPr>
          <w:rFonts w:ascii="Times New Roman" w:hAnsi="Times New Roman" w:cs="Times New Roman"/>
          <w:sz w:val="28"/>
          <w:szCs w:val="28"/>
        </w:rPr>
        <w:t>.</w:t>
      </w:r>
      <w:r w:rsidR="00422082" w:rsidRPr="00960423">
        <w:rPr>
          <w:rFonts w:ascii="Times New Roman" w:hAnsi="Times New Roman" w:cs="Times New Roman"/>
          <w:sz w:val="28"/>
          <w:szCs w:val="28"/>
        </w:rPr>
        <w:t xml:space="preserve"> В нарушение</w:t>
      </w:r>
      <w:r w:rsidR="00DE0F41" w:rsidRPr="00960423">
        <w:rPr>
          <w:rFonts w:ascii="Times New Roman" w:hAnsi="Times New Roman" w:cs="Times New Roman"/>
          <w:sz w:val="28"/>
          <w:szCs w:val="28"/>
        </w:rPr>
        <w:t xml:space="preserve"> </w:t>
      </w:r>
      <w:r w:rsidR="00A90BDA" w:rsidRPr="00960423">
        <w:rPr>
          <w:rFonts w:ascii="Times New Roman" w:hAnsi="Times New Roman" w:cs="Times New Roman"/>
          <w:sz w:val="28"/>
          <w:szCs w:val="28"/>
        </w:rPr>
        <w:t xml:space="preserve">Решения Собрания </w:t>
      </w:r>
      <w:proofErr w:type="spellStart"/>
      <w:r w:rsidR="00A90BDA" w:rsidRPr="00960423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A90BDA" w:rsidRPr="00960423">
        <w:rPr>
          <w:rFonts w:ascii="Times New Roman" w:hAnsi="Times New Roman" w:cs="Times New Roman"/>
          <w:sz w:val="28"/>
          <w:szCs w:val="28"/>
        </w:rPr>
        <w:t xml:space="preserve"> района «О бюджете </w:t>
      </w:r>
      <w:proofErr w:type="spellStart"/>
      <w:r w:rsidR="00A90BDA" w:rsidRPr="00960423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A90BDA" w:rsidRPr="00960423">
        <w:rPr>
          <w:rFonts w:ascii="Times New Roman" w:hAnsi="Times New Roman" w:cs="Times New Roman"/>
          <w:sz w:val="28"/>
          <w:szCs w:val="28"/>
        </w:rPr>
        <w:t xml:space="preserve"> района на 2015 год» и </w:t>
      </w:r>
      <w:r w:rsidR="00422082" w:rsidRPr="00960423">
        <w:rPr>
          <w:rFonts w:ascii="Times New Roman" w:hAnsi="Times New Roman" w:cs="Times New Roman"/>
          <w:sz w:val="28"/>
          <w:szCs w:val="28"/>
        </w:rPr>
        <w:t>ст.7 Закона Республики Абхазия</w:t>
      </w:r>
      <w:r w:rsidR="00DE0F41" w:rsidRPr="00960423">
        <w:rPr>
          <w:rFonts w:ascii="Times New Roman" w:hAnsi="Times New Roman" w:cs="Times New Roman"/>
          <w:sz w:val="28"/>
          <w:szCs w:val="28"/>
        </w:rPr>
        <w:t xml:space="preserve"> «О Республиканском бюджете на 2015 год»</w:t>
      </w:r>
      <w:r w:rsidR="00422082" w:rsidRPr="00960423">
        <w:rPr>
          <w:rFonts w:ascii="Times New Roman" w:hAnsi="Times New Roman" w:cs="Times New Roman"/>
          <w:sz w:val="28"/>
          <w:szCs w:val="28"/>
        </w:rPr>
        <w:t xml:space="preserve"> выплата заработной платы</w:t>
      </w:r>
      <w:r w:rsidR="00A90BDA" w:rsidRPr="00960423">
        <w:rPr>
          <w:rFonts w:ascii="Times New Roman" w:hAnsi="Times New Roman" w:cs="Times New Roman"/>
          <w:sz w:val="28"/>
          <w:szCs w:val="28"/>
        </w:rPr>
        <w:t xml:space="preserve"> работникам сферы «Образования»</w:t>
      </w:r>
      <w:r w:rsidR="000A6437" w:rsidRPr="00960423">
        <w:rPr>
          <w:rFonts w:ascii="Times New Roman" w:hAnsi="Times New Roman" w:cs="Times New Roman"/>
          <w:sz w:val="28"/>
          <w:szCs w:val="28"/>
        </w:rPr>
        <w:t xml:space="preserve"> и «Здравоохранения» производила</w:t>
      </w:r>
      <w:r w:rsidR="00A90BDA" w:rsidRPr="00960423">
        <w:rPr>
          <w:rFonts w:ascii="Times New Roman" w:hAnsi="Times New Roman" w:cs="Times New Roman"/>
          <w:sz w:val="28"/>
          <w:szCs w:val="28"/>
        </w:rPr>
        <w:t xml:space="preserve">сь </w:t>
      </w:r>
      <w:r w:rsidR="004508D8" w:rsidRPr="00960423">
        <w:rPr>
          <w:rFonts w:ascii="Times New Roman" w:hAnsi="Times New Roman" w:cs="Times New Roman"/>
          <w:sz w:val="28"/>
          <w:szCs w:val="28"/>
        </w:rPr>
        <w:t xml:space="preserve">без учета ее увеличения с 1 января 2015 года. </w:t>
      </w:r>
      <w:r w:rsidR="00960423">
        <w:rPr>
          <w:rFonts w:ascii="Times New Roman" w:hAnsi="Times New Roman" w:cs="Times New Roman"/>
          <w:sz w:val="28"/>
          <w:szCs w:val="28"/>
        </w:rPr>
        <w:t>Задолженность по оплате труда за 6 месяцев 2015 года была выплачена в 4 квартале 2015 года. Остаток задолженности по оплате тру</w:t>
      </w:r>
      <w:r w:rsidR="00337FD3">
        <w:rPr>
          <w:rFonts w:ascii="Times New Roman" w:hAnsi="Times New Roman" w:cs="Times New Roman"/>
          <w:sz w:val="28"/>
          <w:szCs w:val="28"/>
        </w:rPr>
        <w:t>да на 01. 01. 2016 год составил</w:t>
      </w:r>
      <w:r w:rsidR="00960423">
        <w:rPr>
          <w:rFonts w:ascii="Times New Roman" w:hAnsi="Times New Roman" w:cs="Times New Roman"/>
          <w:sz w:val="28"/>
          <w:szCs w:val="28"/>
        </w:rPr>
        <w:t xml:space="preserve"> 6 816,5 тыс. руб. </w:t>
      </w:r>
    </w:p>
    <w:p w:rsidR="00B940AB" w:rsidRDefault="00B3190E" w:rsidP="00B3190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69">
        <w:rPr>
          <w:rFonts w:ascii="Times New Roman" w:hAnsi="Times New Roman" w:cs="Times New Roman"/>
          <w:sz w:val="28"/>
          <w:szCs w:val="28"/>
        </w:rPr>
        <w:t xml:space="preserve">    </w:t>
      </w:r>
      <w:r w:rsidR="00B940AB">
        <w:rPr>
          <w:rFonts w:ascii="Times New Roman" w:hAnsi="Times New Roman" w:cs="Times New Roman"/>
          <w:sz w:val="28"/>
          <w:szCs w:val="28"/>
        </w:rPr>
        <w:tab/>
      </w:r>
      <w:r w:rsidRPr="00037D69">
        <w:rPr>
          <w:rFonts w:ascii="Times New Roman" w:hAnsi="Times New Roman" w:cs="Times New Roman"/>
          <w:sz w:val="28"/>
          <w:szCs w:val="28"/>
        </w:rPr>
        <w:t xml:space="preserve"> </w:t>
      </w:r>
      <w:r w:rsidR="00830A37">
        <w:rPr>
          <w:rFonts w:ascii="Times New Roman" w:hAnsi="Times New Roman" w:cs="Times New Roman"/>
          <w:sz w:val="28"/>
          <w:szCs w:val="28"/>
        </w:rPr>
        <w:t>4</w:t>
      </w:r>
      <w:r w:rsidR="00D70E94" w:rsidRPr="00037D69">
        <w:rPr>
          <w:rFonts w:ascii="Times New Roman" w:hAnsi="Times New Roman" w:cs="Times New Roman"/>
          <w:sz w:val="28"/>
          <w:szCs w:val="28"/>
        </w:rPr>
        <w:t>.</w:t>
      </w:r>
      <w:r w:rsidRPr="00037D69">
        <w:rPr>
          <w:rFonts w:ascii="Times New Roman" w:hAnsi="Times New Roman" w:cs="Times New Roman"/>
          <w:sz w:val="28"/>
          <w:szCs w:val="28"/>
        </w:rPr>
        <w:t>Имело место н</w:t>
      </w:r>
      <w:r w:rsidR="00F90628" w:rsidRPr="00037D69">
        <w:rPr>
          <w:rFonts w:ascii="Times New Roman" w:hAnsi="Times New Roman" w:cs="Times New Roman"/>
          <w:sz w:val="28"/>
          <w:szCs w:val="28"/>
        </w:rPr>
        <w:t>арушение пост</w:t>
      </w:r>
      <w:r w:rsidR="000A6437" w:rsidRPr="00037D69">
        <w:rPr>
          <w:rFonts w:ascii="Times New Roman" w:hAnsi="Times New Roman" w:cs="Times New Roman"/>
          <w:sz w:val="28"/>
          <w:szCs w:val="28"/>
        </w:rPr>
        <w:t>атейной бюджетной классификации,</w:t>
      </w:r>
      <w:r w:rsidR="00F90628" w:rsidRPr="00037D69">
        <w:rPr>
          <w:rFonts w:ascii="Times New Roman" w:hAnsi="Times New Roman" w:cs="Times New Roman"/>
          <w:sz w:val="28"/>
          <w:szCs w:val="28"/>
        </w:rPr>
        <w:t xml:space="preserve"> отнесение на ст.3 «Хозяйственные расходы» расходов </w:t>
      </w:r>
      <w:r w:rsidRPr="00037D69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F90628" w:rsidRPr="00037D69">
        <w:rPr>
          <w:rFonts w:ascii="Times New Roman" w:hAnsi="Times New Roman" w:cs="Times New Roman"/>
          <w:sz w:val="28"/>
          <w:szCs w:val="28"/>
        </w:rPr>
        <w:t>связанных с прио</w:t>
      </w:r>
      <w:r w:rsidR="00A10E22" w:rsidRPr="00037D69">
        <w:rPr>
          <w:rFonts w:ascii="Times New Roman" w:hAnsi="Times New Roman" w:cs="Times New Roman"/>
          <w:sz w:val="28"/>
          <w:szCs w:val="28"/>
        </w:rPr>
        <w:t>бретением служебного автомобиля;</w:t>
      </w:r>
    </w:p>
    <w:p w:rsidR="00F809B9" w:rsidRPr="001B5872" w:rsidRDefault="00CD5D9B" w:rsidP="009A25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5872">
        <w:rPr>
          <w:rFonts w:ascii="Times New Roman" w:hAnsi="Times New Roman" w:cs="Times New Roman"/>
          <w:sz w:val="28"/>
          <w:szCs w:val="28"/>
        </w:rPr>
        <w:t>5. По разделу «Образование» были запланированы расходы по детскому саду «</w:t>
      </w:r>
      <w:proofErr w:type="spellStart"/>
      <w:r w:rsidRPr="001B5872">
        <w:rPr>
          <w:rFonts w:ascii="Times New Roman" w:hAnsi="Times New Roman" w:cs="Times New Roman"/>
          <w:sz w:val="28"/>
          <w:szCs w:val="28"/>
        </w:rPr>
        <w:t>Амра</w:t>
      </w:r>
      <w:proofErr w:type="spellEnd"/>
      <w:r w:rsidRPr="001B5872">
        <w:rPr>
          <w:rFonts w:ascii="Times New Roman" w:hAnsi="Times New Roman" w:cs="Times New Roman"/>
          <w:sz w:val="28"/>
          <w:szCs w:val="28"/>
        </w:rPr>
        <w:t>» в сумме 2 902,6 тыс.</w:t>
      </w:r>
      <w:r w:rsidR="00F809B9" w:rsidRPr="001B5872">
        <w:rPr>
          <w:rFonts w:ascii="Times New Roman" w:hAnsi="Times New Roman" w:cs="Times New Roman"/>
          <w:sz w:val="28"/>
          <w:szCs w:val="28"/>
        </w:rPr>
        <w:t xml:space="preserve"> руб., однако</w:t>
      </w:r>
      <w:r w:rsidR="001B5872" w:rsidRPr="001B5872">
        <w:rPr>
          <w:rFonts w:ascii="Times New Roman" w:hAnsi="Times New Roman" w:cs="Times New Roman"/>
          <w:sz w:val="28"/>
          <w:szCs w:val="28"/>
        </w:rPr>
        <w:t>,</w:t>
      </w:r>
      <w:r w:rsidR="00F809B9" w:rsidRPr="001B5872">
        <w:rPr>
          <w:rFonts w:ascii="Times New Roman" w:hAnsi="Times New Roman" w:cs="Times New Roman"/>
          <w:sz w:val="28"/>
          <w:szCs w:val="28"/>
        </w:rPr>
        <w:t xml:space="preserve"> в связи с неисполнением Министерством финансов Республики Абхазия обязательств по выплате межбюджетных трансфертов бюджету </w:t>
      </w:r>
      <w:proofErr w:type="spellStart"/>
      <w:r w:rsidR="00F809B9" w:rsidRPr="001B5872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F809B9" w:rsidRPr="001B587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B5872" w:rsidRPr="001B5872">
        <w:rPr>
          <w:rFonts w:ascii="Times New Roman" w:hAnsi="Times New Roman" w:cs="Times New Roman"/>
          <w:sz w:val="28"/>
          <w:szCs w:val="28"/>
        </w:rPr>
        <w:t xml:space="preserve">, ввиду </w:t>
      </w:r>
      <w:r w:rsidR="00F809B9" w:rsidRPr="001B5872">
        <w:rPr>
          <w:rFonts w:ascii="Times New Roman" w:hAnsi="Times New Roman" w:cs="Times New Roman"/>
          <w:sz w:val="28"/>
          <w:szCs w:val="28"/>
        </w:rPr>
        <w:t>недостаточности средств объек</w:t>
      </w:r>
      <w:r w:rsidR="001B5872">
        <w:rPr>
          <w:rFonts w:ascii="Times New Roman" w:hAnsi="Times New Roman" w:cs="Times New Roman"/>
          <w:sz w:val="28"/>
          <w:szCs w:val="28"/>
        </w:rPr>
        <w:t>т не был введен в эксплуатацию;</w:t>
      </w:r>
    </w:p>
    <w:p w:rsidR="00D43F48" w:rsidRPr="00157311" w:rsidRDefault="00CD5D9B" w:rsidP="00D43F4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940AB" w:rsidRPr="00157311">
        <w:rPr>
          <w:rFonts w:ascii="Times New Roman" w:hAnsi="Times New Roman" w:cs="Times New Roman"/>
          <w:sz w:val="28"/>
          <w:szCs w:val="28"/>
        </w:rPr>
        <w:t>.По разделу «Резервный фонд» имело место нецелевое использование бюджетных ср</w:t>
      </w:r>
      <w:r>
        <w:rPr>
          <w:rFonts w:ascii="Times New Roman" w:hAnsi="Times New Roman" w:cs="Times New Roman"/>
          <w:sz w:val="28"/>
          <w:szCs w:val="28"/>
        </w:rPr>
        <w:t>едств на сумму 1 103,0 тыс. руб.;</w:t>
      </w:r>
    </w:p>
    <w:p w:rsidR="00E7232F" w:rsidRPr="00CD5D9B" w:rsidRDefault="00CD5D9B" w:rsidP="00D43F48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E4D2B" w:rsidRPr="00037D69">
        <w:rPr>
          <w:rFonts w:ascii="Times New Roman" w:hAnsi="Times New Roman" w:cs="Times New Roman"/>
          <w:sz w:val="28"/>
          <w:szCs w:val="28"/>
        </w:rPr>
        <w:t>.</w:t>
      </w:r>
      <w:r w:rsidR="009E6008" w:rsidRPr="00037D69">
        <w:rPr>
          <w:rFonts w:ascii="Times New Roman" w:hAnsi="Times New Roman" w:cs="Times New Roman"/>
          <w:sz w:val="28"/>
          <w:szCs w:val="28"/>
        </w:rPr>
        <w:t xml:space="preserve">В представленных решениях Собрания </w:t>
      </w:r>
      <w:proofErr w:type="spellStart"/>
      <w:r w:rsidR="00CB525B">
        <w:rPr>
          <w:rFonts w:ascii="Times New Roman" w:hAnsi="Times New Roman" w:cs="Times New Roman"/>
          <w:sz w:val="28"/>
          <w:szCs w:val="28"/>
        </w:rPr>
        <w:t>Ткуарчалского</w:t>
      </w:r>
      <w:proofErr w:type="spellEnd"/>
      <w:r w:rsidR="00CB525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9E6008" w:rsidRPr="00037D69">
        <w:rPr>
          <w:rFonts w:ascii="Times New Roman" w:hAnsi="Times New Roman" w:cs="Times New Roman"/>
          <w:sz w:val="28"/>
          <w:szCs w:val="28"/>
        </w:rPr>
        <w:t>№3 от 24.02.2015г., № 4 от 24.04.2015г., №5 от 07.05.2015 г.</w:t>
      </w:r>
      <w:r w:rsidR="000A6437" w:rsidRPr="00037D69">
        <w:rPr>
          <w:rFonts w:ascii="Times New Roman" w:hAnsi="Times New Roman" w:cs="Times New Roman"/>
          <w:sz w:val="28"/>
          <w:szCs w:val="28"/>
        </w:rPr>
        <w:t>,</w:t>
      </w:r>
      <w:r w:rsidR="009E6008" w:rsidRPr="00037D69">
        <w:rPr>
          <w:rFonts w:ascii="Times New Roman" w:hAnsi="Times New Roman" w:cs="Times New Roman"/>
          <w:sz w:val="28"/>
          <w:szCs w:val="28"/>
        </w:rPr>
        <w:t xml:space="preserve"> разрешающих </w:t>
      </w:r>
      <w:r w:rsidR="009E6008" w:rsidRPr="00037D69">
        <w:rPr>
          <w:rFonts w:ascii="Times New Roman" w:hAnsi="Times New Roman" w:cs="Times New Roman"/>
          <w:sz w:val="28"/>
          <w:szCs w:val="28"/>
        </w:rPr>
        <w:lastRenderedPageBreak/>
        <w:t xml:space="preserve">производить новые и увеличивать существующие расходные обязательства, не указаны источники   за счет которых будут производится расходы. </w:t>
      </w:r>
    </w:p>
    <w:sectPr w:rsidR="00E7232F" w:rsidRPr="00CD5D9B" w:rsidSect="00CD2188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B97" w:rsidRDefault="00A63B97" w:rsidP="0094100B">
      <w:pPr>
        <w:spacing w:after="0" w:line="240" w:lineRule="auto"/>
      </w:pPr>
      <w:r>
        <w:separator/>
      </w:r>
    </w:p>
  </w:endnote>
  <w:endnote w:type="continuationSeparator" w:id="0">
    <w:p w:rsidR="00A63B97" w:rsidRDefault="00A63B97" w:rsidP="00941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144369"/>
      <w:docPartObj>
        <w:docPartGallery w:val="Page Numbers (Bottom of Page)"/>
        <w:docPartUnique/>
      </w:docPartObj>
    </w:sdtPr>
    <w:sdtEndPr/>
    <w:sdtContent>
      <w:p w:rsidR="0094100B" w:rsidRDefault="009410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8CC">
          <w:rPr>
            <w:noProof/>
          </w:rPr>
          <w:t>2</w:t>
        </w:r>
        <w:r>
          <w:fldChar w:fldCharType="end"/>
        </w:r>
      </w:p>
    </w:sdtContent>
  </w:sdt>
  <w:p w:rsidR="0094100B" w:rsidRDefault="009410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B97" w:rsidRDefault="00A63B97" w:rsidP="0094100B">
      <w:pPr>
        <w:spacing w:after="0" w:line="240" w:lineRule="auto"/>
      </w:pPr>
      <w:r>
        <w:separator/>
      </w:r>
    </w:p>
  </w:footnote>
  <w:footnote w:type="continuationSeparator" w:id="0">
    <w:p w:rsidR="00A63B97" w:rsidRDefault="00A63B97" w:rsidP="00941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26647"/>
    <w:multiLevelType w:val="hybridMultilevel"/>
    <w:tmpl w:val="8408CA00"/>
    <w:lvl w:ilvl="0" w:tplc="7A4AE6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0BC75E6"/>
    <w:multiLevelType w:val="hybridMultilevel"/>
    <w:tmpl w:val="8408CA00"/>
    <w:lvl w:ilvl="0" w:tplc="7A4AE6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AA"/>
    <w:rsid w:val="00037D69"/>
    <w:rsid w:val="00043A14"/>
    <w:rsid w:val="00047AA8"/>
    <w:rsid w:val="00080DAD"/>
    <w:rsid w:val="000A0EE3"/>
    <w:rsid w:val="000A6437"/>
    <w:rsid w:val="000C5A54"/>
    <w:rsid w:val="000E1C86"/>
    <w:rsid w:val="000F6444"/>
    <w:rsid w:val="001113EE"/>
    <w:rsid w:val="0011496E"/>
    <w:rsid w:val="00115737"/>
    <w:rsid w:val="0013327A"/>
    <w:rsid w:val="00137BA8"/>
    <w:rsid w:val="00152851"/>
    <w:rsid w:val="00153171"/>
    <w:rsid w:val="00157311"/>
    <w:rsid w:val="001768CC"/>
    <w:rsid w:val="001A327C"/>
    <w:rsid w:val="001B38BB"/>
    <w:rsid w:val="001B5872"/>
    <w:rsid w:val="001C3DD4"/>
    <w:rsid w:val="001C4CCC"/>
    <w:rsid w:val="001E2F5E"/>
    <w:rsid w:val="001F44B2"/>
    <w:rsid w:val="001F771E"/>
    <w:rsid w:val="001F7FAD"/>
    <w:rsid w:val="00207D2F"/>
    <w:rsid w:val="00211B72"/>
    <w:rsid w:val="00233CBD"/>
    <w:rsid w:val="00250B73"/>
    <w:rsid w:val="00253106"/>
    <w:rsid w:val="00254916"/>
    <w:rsid w:val="002617F1"/>
    <w:rsid w:val="0026492A"/>
    <w:rsid w:val="002702D5"/>
    <w:rsid w:val="002876E6"/>
    <w:rsid w:val="00290703"/>
    <w:rsid w:val="002A31D3"/>
    <w:rsid w:val="002A5179"/>
    <w:rsid w:val="002B1535"/>
    <w:rsid w:val="002D229B"/>
    <w:rsid w:val="002D5614"/>
    <w:rsid w:val="002F04D0"/>
    <w:rsid w:val="002F5F83"/>
    <w:rsid w:val="0031361A"/>
    <w:rsid w:val="00321E82"/>
    <w:rsid w:val="00334728"/>
    <w:rsid w:val="00335111"/>
    <w:rsid w:val="003375DA"/>
    <w:rsid w:val="00337FD3"/>
    <w:rsid w:val="00345BCF"/>
    <w:rsid w:val="0034731D"/>
    <w:rsid w:val="00350B23"/>
    <w:rsid w:val="00351B86"/>
    <w:rsid w:val="003558C3"/>
    <w:rsid w:val="00370ED2"/>
    <w:rsid w:val="00371D53"/>
    <w:rsid w:val="00381C71"/>
    <w:rsid w:val="003A0BD4"/>
    <w:rsid w:val="003A3411"/>
    <w:rsid w:val="003A3A1C"/>
    <w:rsid w:val="003B7A8B"/>
    <w:rsid w:val="003F3757"/>
    <w:rsid w:val="003F5F86"/>
    <w:rsid w:val="00401BEA"/>
    <w:rsid w:val="004136BC"/>
    <w:rsid w:val="00413BB5"/>
    <w:rsid w:val="00413EEE"/>
    <w:rsid w:val="00414DCB"/>
    <w:rsid w:val="00422082"/>
    <w:rsid w:val="00431F16"/>
    <w:rsid w:val="0043333A"/>
    <w:rsid w:val="004367CF"/>
    <w:rsid w:val="00440792"/>
    <w:rsid w:val="00442398"/>
    <w:rsid w:val="004508D8"/>
    <w:rsid w:val="00451813"/>
    <w:rsid w:val="004657DA"/>
    <w:rsid w:val="00467D05"/>
    <w:rsid w:val="004712CA"/>
    <w:rsid w:val="00484BB4"/>
    <w:rsid w:val="004A6BD4"/>
    <w:rsid w:val="004B7358"/>
    <w:rsid w:val="004D01F0"/>
    <w:rsid w:val="004D314D"/>
    <w:rsid w:val="004F1E4C"/>
    <w:rsid w:val="004F437B"/>
    <w:rsid w:val="0051434B"/>
    <w:rsid w:val="005156FE"/>
    <w:rsid w:val="00525D3E"/>
    <w:rsid w:val="00535866"/>
    <w:rsid w:val="0054050A"/>
    <w:rsid w:val="00541CAB"/>
    <w:rsid w:val="005439FF"/>
    <w:rsid w:val="005451C6"/>
    <w:rsid w:val="005468C2"/>
    <w:rsid w:val="00572BEE"/>
    <w:rsid w:val="00573B62"/>
    <w:rsid w:val="005B14FC"/>
    <w:rsid w:val="005B458B"/>
    <w:rsid w:val="005B7E01"/>
    <w:rsid w:val="005C613A"/>
    <w:rsid w:val="005D3991"/>
    <w:rsid w:val="005D546D"/>
    <w:rsid w:val="005D5AC7"/>
    <w:rsid w:val="005D5B48"/>
    <w:rsid w:val="005F1374"/>
    <w:rsid w:val="005F19D1"/>
    <w:rsid w:val="005F75CC"/>
    <w:rsid w:val="00630381"/>
    <w:rsid w:val="006713B4"/>
    <w:rsid w:val="00672A77"/>
    <w:rsid w:val="006A007F"/>
    <w:rsid w:val="006A3C8D"/>
    <w:rsid w:val="006A4EE4"/>
    <w:rsid w:val="006A7078"/>
    <w:rsid w:val="006B18BD"/>
    <w:rsid w:val="006E73C3"/>
    <w:rsid w:val="006F09AD"/>
    <w:rsid w:val="006F1D4B"/>
    <w:rsid w:val="006F27DF"/>
    <w:rsid w:val="006F4E8F"/>
    <w:rsid w:val="007122F4"/>
    <w:rsid w:val="007141AE"/>
    <w:rsid w:val="00723D2D"/>
    <w:rsid w:val="00730488"/>
    <w:rsid w:val="00732C66"/>
    <w:rsid w:val="00733708"/>
    <w:rsid w:val="00733D05"/>
    <w:rsid w:val="00733DB2"/>
    <w:rsid w:val="00736726"/>
    <w:rsid w:val="007374B3"/>
    <w:rsid w:val="0073759A"/>
    <w:rsid w:val="00755463"/>
    <w:rsid w:val="00764587"/>
    <w:rsid w:val="00767DDD"/>
    <w:rsid w:val="00771212"/>
    <w:rsid w:val="00772026"/>
    <w:rsid w:val="00775583"/>
    <w:rsid w:val="0078404B"/>
    <w:rsid w:val="00785A74"/>
    <w:rsid w:val="007B2791"/>
    <w:rsid w:val="007D4750"/>
    <w:rsid w:val="007D49D1"/>
    <w:rsid w:val="007E4D2B"/>
    <w:rsid w:val="007E78B0"/>
    <w:rsid w:val="007F28B2"/>
    <w:rsid w:val="00802987"/>
    <w:rsid w:val="00813707"/>
    <w:rsid w:val="00823495"/>
    <w:rsid w:val="00830A37"/>
    <w:rsid w:val="008427E2"/>
    <w:rsid w:val="00850DB9"/>
    <w:rsid w:val="00861945"/>
    <w:rsid w:val="0086394A"/>
    <w:rsid w:val="00867573"/>
    <w:rsid w:val="00871BF7"/>
    <w:rsid w:val="0088284B"/>
    <w:rsid w:val="008C5B5A"/>
    <w:rsid w:val="008C7931"/>
    <w:rsid w:val="008D3708"/>
    <w:rsid w:val="008D7A4B"/>
    <w:rsid w:val="008E6B77"/>
    <w:rsid w:val="008F6161"/>
    <w:rsid w:val="009026A1"/>
    <w:rsid w:val="00915C85"/>
    <w:rsid w:val="00920DF9"/>
    <w:rsid w:val="0093054C"/>
    <w:rsid w:val="009314E0"/>
    <w:rsid w:val="0094100B"/>
    <w:rsid w:val="00943541"/>
    <w:rsid w:val="009437B7"/>
    <w:rsid w:val="00946569"/>
    <w:rsid w:val="00960423"/>
    <w:rsid w:val="00960728"/>
    <w:rsid w:val="0096238C"/>
    <w:rsid w:val="00964416"/>
    <w:rsid w:val="00964B7B"/>
    <w:rsid w:val="00967A4D"/>
    <w:rsid w:val="0099329F"/>
    <w:rsid w:val="009A257B"/>
    <w:rsid w:val="009A3E44"/>
    <w:rsid w:val="009B2B06"/>
    <w:rsid w:val="009E6008"/>
    <w:rsid w:val="009F3EBB"/>
    <w:rsid w:val="00A10874"/>
    <w:rsid w:val="00A10E22"/>
    <w:rsid w:val="00A154D5"/>
    <w:rsid w:val="00A16A4B"/>
    <w:rsid w:val="00A20EE5"/>
    <w:rsid w:val="00A25BE3"/>
    <w:rsid w:val="00A432ED"/>
    <w:rsid w:val="00A46CFF"/>
    <w:rsid w:val="00A624BF"/>
    <w:rsid w:val="00A63B97"/>
    <w:rsid w:val="00A66448"/>
    <w:rsid w:val="00A77228"/>
    <w:rsid w:val="00A77B49"/>
    <w:rsid w:val="00A90BDA"/>
    <w:rsid w:val="00A92F2A"/>
    <w:rsid w:val="00AB3180"/>
    <w:rsid w:val="00AB4611"/>
    <w:rsid w:val="00AF0831"/>
    <w:rsid w:val="00B11637"/>
    <w:rsid w:val="00B14483"/>
    <w:rsid w:val="00B2737A"/>
    <w:rsid w:val="00B30823"/>
    <w:rsid w:val="00B3190E"/>
    <w:rsid w:val="00B35856"/>
    <w:rsid w:val="00B5385D"/>
    <w:rsid w:val="00B8495A"/>
    <w:rsid w:val="00B86027"/>
    <w:rsid w:val="00B907C5"/>
    <w:rsid w:val="00B92661"/>
    <w:rsid w:val="00B940AB"/>
    <w:rsid w:val="00B945FE"/>
    <w:rsid w:val="00BB20CA"/>
    <w:rsid w:val="00BD030D"/>
    <w:rsid w:val="00BD4BFC"/>
    <w:rsid w:val="00BE1E32"/>
    <w:rsid w:val="00BE5970"/>
    <w:rsid w:val="00BF269B"/>
    <w:rsid w:val="00BF57AF"/>
    <w:rsid w:val="00C0018A"/>
    <w:rsid w:val="00C02CF6"/>
    <w:rsid w:val="00C11063"/>
    <w:rsid w:val="00C11289"/>
    <w:rsid w:val="00C161C1"/>
    <w:rsid w:val="00C174EB"/>
    <w:rsid w:val="00C45554"/>
    <w:rsid w:val="00C51FAC"/>
    <w:rsid w:val="00C65557"/>
    <w:rsid w:val="00C70E2B"/>
    <w:rsid w:val="00C73026"/>
    <w:rsid w:val="00C8243E"/>
    <w:rsid w:val="00C97E35"/>
    <w:rsid w:val="00CA2DEF"/>
    <w:rsid w:val="00CA4951"/>
    <w:rsid w:val="00CB1F8C"/>
    <w:rsid w:val="00CB525B"/>
    <w:rsid w:val="00CB666C"/>
    <w:rsid w:val="00CD2188"/>
    <w:rsid w:val="00CD5D9B"/>
    <w:rsid w:val="00CE28DA"/>
    <w:rsid w:val="00CE3BBA"/>
    <w:rsid w:val="00D106B6"/>
    <w:rsid w:val="00D163A9"/>
    <w:rsid w:val="00D16A52"/>
    <w:rsid w:val="00D219F1"/>
    <w:rsid w:val="00D273E5"/>
    <w:rsid w:val="00D301F9"/>
    <w:rsid w:val="00D43F48"/>
    <w:rsid w:val="00D508AA"/>
    <w:rsid w:val="00D70E94"/>
    <w:rsid w:val="00D74266"/>
    <w:rsid w:val="00D9636E"/>
    <w:rsid w:val="00DB10BA"/>
    <w:rsid w:val="00DB1D10"/>
    <w:rsid w:val="00DC1EBB"/>
    <w:rsid w:val="00DC62D1"/>
    <w:rsid w:val="00DC70A6"/>
    <w:rsid w:val="00DE0F41"/>
    <w:rsid w:val="00E008B3"/>
    <w:rsid w:val="00E1750A"/>
    <w:rsid w:val="00E31FAE"/>
    <w:rsid w:val="00E41A69"/>
    <w:rsid w:val="00E451ED"/>
    <w:rsid w:val="00E4744B"/>
    <w:rsid w:val="00E529AB"/>
    <w:rsid w:val="00E56766"/>
    <w:rsid w:val="00E7232F"/>
    <w:rsid w:val="00EA4837"/>
    <w:rsid w:val="00EB3A75"/>
    <w:rsid w:val="00EC2193"/>
    <w:rsid w:val="00EC2F69"/>
    <w:rsid w:val="00EC7068"/>
    <w:rsid w:val="00ED46EA"/>
    <w:rsid w:val="00EE1FB6"/>
    <w:rsid w:val="00EE7763"/>
    <w:rsid w:val="00EF152D"/>
    <w:rsid w:val="00EF3CA7"/>
    <w:rsid w:val="00F12C59"/>
    <w:rsid w:val="00F1383C"/>
    <w:rsid w:val="00F51544"/>
    <w:rsid w:val="00F57A02"/>
    <w:rsid w:val="00F63012"/>
    <w:rsid w:val="00F67E2B"/>
    <w:rsid w:val="00F809B9"/>
    <w:rsid w:val="00F844A3"/>
    <w:rsid w:val="00F85C3C"/>
    <w:rsid w:val="00F90628"/>
    <w:rsid w:val="00F95D3F"/>
    <w:rsid w:val="00FC21B9"/>
    <w:rsid w:val="00FD38D9"/>
    <w:rsid w:val="00FD5798"/>
    <w:rsid w:val="00FE1C4E"/>
    <w:rsid w:val="00FE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19765-31BF-4E36-8978-470E0761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723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32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723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723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51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54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56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100B"/>
  </w:style>
  <w:style w:type="paragraph" w:styleId="a9">
    <w:name w:val="footer"/>
    <w:basedOn w:val="a"/>
    <w:link w:val="aa"/>
    <w:uiPriority w:val="99"/>
    <w:unhideWhenUsed/>
    <w:rsid w:val="009410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1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5F9E-3BF2-4941-A98D-8A7B1FFB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8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121</cp:revision>
  <cp:lastPrinted>2016-08-11T13:03:00Z</cp:lastPrinted>
  <dcterms:created xsi:type="dcterms:W3CDTF">2015-08-07T06:59:00Z</dcterms:created>
  <dcterms:modified xsi:type="dcterms:W3CDTF">2016-08-15T05:38:00Z</dcterms:modified>
</cp:coreProperties>
</file>